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6C83F561" w:rsidR="00FE0276" w:rsidRDefault="00956A9E" w:rsidP="006A4FC9">
      <w:pPr>
        <w:jc w:val="center"/>
        <w:rPr>
          <w:b/>
        </w:rPr>
      </w:pPr>
      <w:r>
        <w:rPr>
          <w:b/>
        </w:rPr>
        <w:t xml:space="preserve">Virtual Meeting </w:t>
      </w:r>
      <w:r w:rsidR="00B2668B" w:rsidRPr="00A04908">
        <w:rPr>
          <w:b/>
        </w:rPr>
        <w:t xml:space="preserve">– </w:t>
      </w:r>
      <w:r w:rsidR="00E73842">
        <w:rPr>
          <w:b/>
        </w:rPr>
        <w:t>March 16</w:t>
      </w:r>
      <w:r w:rsidR="003A06EF">
        <w:rPr>
          <w:b/>
        </w:rPr>
        <w:t>, 20</w:t>
      </w:r>
      <w:r w:rsidR="0085106B">
        <w:rPr>
          <w:b/>
        </w:rPr>
        <w:t>2</w:t>
      </w:r>
      <w:r w:rsidR="00C714A3">
        <w:rPr>
          <w:b/>
        </w:rPr>
        <w:t>3</w:t>
      </w:r>
      <w:r w:rsidR="006A4FC9">
        <w:rPr>
          <w:b/>
        </w:rPr>
        <w:t xml:space="preserve"> | </w:t>
      </w:r>
      <w:r w:rsidR="0040758A">
        <w:rPr>
          <w:b/>
        </w:rPr>
        <w:t>1</w:t>
      </w:r>
      <w:r w:rsidR="003773B6">
        <w:rPr>
          <w:b/>
        </w:rPr>
        <w:t>0</w:t>
      </w:r>
      <w:r w:rsidR="0040758A">
        <w:rPr>
          <w:b/>
        </w:rPr>
        <w:t>am-</w:t>
      </w:r>
      <w:r w:rsidR="00DB022D">
        <w:rPr>
          <w:b/>
        </w:rPr>
        <w:t>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06B17AE"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D65925">
        <w:rPr>
          <w:rFonts w:ascii="Cambria" w:hAnsi="Cambria" w:cs="Cambria"/>
        </w:rPr>
        <w:t>3</w:t>
      </w:r>
      <w:r w:rsidRPr="00FF1EFE">
        <w:rPr>
          <w:rFonts w:ascii="Cambria" w:hAnsi="Cambria" w:cs="Cambria"/>
        </w:rPr>
        <w:t>-00</w:t>
      </w:r>
      <w:r w:rsidR="00D65925">
        <w:rPr>
          <w:rFonts w:ascii="Cambria" w:hAnsi="Cambria" w:cs="Cambria"/>
        </w:rPr>
        <w:t>0</w:t>
      </w:r>
      <w:r w:rsidR="008C4DDF">
        <w:rPr>
          <w:rFonts w:ascii="Cambria" w:hAnsi="Cambria" w:cs="Cambria"/>
        </w:rPr>
        <w:t>08</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D65925">
        <w:rPr>
          <w:rFonts w:ascii="Cambria" w:hAnsi="Cambria" w:cs="Cambria"/>
        </w:rPr>
        <w:t>February 7</w:t>
      </w:r>
      <w:r w:rsidRPr="00FF1EFE">
        <w:rPr>
          <w:rFonts w:ascii="Cambria" w:hAnsi="Cambria" w:cs="Cambria"/>
        </w:rPr>
        <w:t>, 202</w:t>
      </w:r>
      <w:r w:rsidR="00D65925">
        <w:rPr>
          <w:rFonts w:ascii="Cambria" w:hAnsi="Cambria" w:cs="Cambria"/>
        </w:rPr>
        <w:t>3</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63D0D28" w14:textId="05E4DB1A" w:rsidR="00375104" w:rsidRPr="00BB2E38" w:rsidRDefault="00375104" w:rsidP="00375104">
      <w:pPr>
        <w:pStyle w:val="Heading1"/>
        <w:pBdr>
          <w:top w:val="none" w:sz="0" w:space="0" w:color="auto"/>
          <w:left w:val="none" w:sz="0" w:space="0" w:color="auto"/>
          <w:bottom w:val="none" w:sz="0" w:space="0" w:color="auto"/>
          <w:right w:val="none" w:sz="0" w:space="0" w:color="auto"/>
        </w:pBdr>
        <w:spacing w:before="120" w:after="120"/>
        <w:rPr>
          <w:rFonts w:cs="Cambria"/>
          <w:bCs/>
        </w:rPr>
      </w:pPr>
      <w:r>
        <w:t>PROPOSED NEW ISSUE</w:t>
      </w:r>
    </w:p>
    <w:p w14:paraId="2F2E865B" w14:textId="6697E1BF" w:rsidR="00375104" w:rsidRPr="00F60327" w:rsidRDefault="00375104" w:rsidP="00375104">
      <w:pPr>
        <w:pStyle w:val="ListParagraph"/>
        <w:numPr>
          <w:ilvl w:val="0"/>
          <w:numId w:val="5"/>
        </w:numPr>
        <w:spacing w:after="120"/>
        <w:rPr>
          <w:rFonts w:ascii="Cambria" w:hAnsi="Cambria" w:cs="Cambria"/>
          <w:bCs/>
        </w:rPr>
      </w:pPr>
      <w:r>
        <w:rPr>
          <w:rFonts w:ascii="Cambria" w:hAnsi="Cambria" w:cs="Cambria"/>
          <w:bCs/>
        </w:rPr>
        <w:t>IPNNI-202</w:t>
      </w:r>
      <w:r>
        <w:rPr>
          <w:rFonts w:ascii="Cambria" w:hAnsi="Cambria" w:cs="Cambria"/>
          <w:bCs/>
        </w:rPr>
        <w:t>3</w:t>
      </w:r>
      <w:r>
        <w:rPr>
          <w:rFonts w:ascii="Cambria" w:hAnsi="Cambria" w:cs="Cambria"/>
          <w:bCs/>
        </w:rPr>
        <w:t>-000</w:t>
      </w:r>
      <w:r>
        <w:rPr>
          <w:rFonts w:ascii="Cambria" w:hAnsi="Cambria" w:cs="Cambria"/>
          <w:bCs/>
        </w:rPr>
        <w:t>11</w:t>
      </w:r>
      <w:r>
        <w:rPr>
          <w:rFonts w:ascii="Cambria" w:hAnsi="Cambria" w:cs="Cambria"/>
          <w:bCs/>
        </w:rPr>
        <w:t xml:space="preserve">R000, </w:t>
      </w:r>
      <w:r w:rsidR="006E04D3">
        <w:rPr>
          <w:rFonts w:ascii="Cambria" w:hAnsi="Cambria"/>
          <w:bCs/>
        </w:rPr>
        <w:t>P</w:t>
      </w:r>
      <w:r>
        <w:rPr>
          <w:rFonts w:ascii="Cambria" w:hAnsi="Cambria"/>
          <w:bCs/>
        </w:rPr>
        <w:t xml:space="preserve">roposed </w:t>
      </w:r>
      <w:r w:rsidR="006E04D3">
        <w:rPr>
          <w:rFonts w:ascii="Cambria" w:hAnsi="Cambria"/>
          <w:bCs/>
        </w:rPr>
        <w:t>new Issue: Update procedures in ATIS-1000087</w:t>
      </w:r>
    </w:p>
    <w:p w14:paraId="3FFF2883" w14:textId="0EC77F24" w:rsidR="00703861" w:rsidRDefault="00703861" w:rsidP="00703861">
      <w:pPr>
        <w:pStyle w:val="Heading1"/>
        <w:pBdr>
          <w:top w:val="none" w:sz="0" w:space="0" w:color="auto"/>
          <w:left w:val="none" w:sz="0" w:space="0" w:color="auto"/>
          <w:bottom w:val="none" w:sz="0" w:space="0" w:color="auto"/>
          <w:right w:val="none" w:sz="0" w:space="0" w:color="auto"/>
        </w:pBdr>
        <w:spacing w:before="240"/>
      </w:pPr>
      <w:r>
        <w:t xml:space="preserve">PTSC-LB-279, TECHNICAL REPORT ON OPERATIONAL &amp; MANAGEMENT CONSIDERATIONS FOR SHAKEN STI CERTIFICATION AUTHORITIES &amp; POLICY ADMINISTRATORS </w:t>
      </w:r>
    </w:p>
    <w:p w14:paraId="3AC1FAAA" w14:textId="7CAA6F8C" w:rsidR="00703861" w:rsidRDefault="00131E72" w:rsidP="00703861">
      <w:pPr>
        <w:pStyle w:val="ListParagraph"/>
        <w:numPr>
          <w:ilvl w:val="0"/>
          <w:numId w:val="5"/>
        </w:numPr>
        <w:spacing w:before="120" w:after="120"/>
        <w:rPr>
          <w:rFonts w:ascii="Cambria" w:hAnsi="Cambria" w:cs="Cambria"/>
        </w:rPr>
      </w:pPr>
      <w:r>
        <w:rPr>
          <w:rFonts w:ascii="Cambria" w:hAnsi="Cambria" w:cs="Cambria"/>
        </w:rPr>
        <w:t>PTSC</w:t>
      </w:r>
      <w:r w:rsidR="00703861">
        <w:rPr>
          <w:rFonts w:ascii="Cambria" w:hAnsi="Cambria" w:cs="Cambria"/>
        </w:rPr>
        <w:t>-2023-000</w:t>
      </w:r>
      <w:r w:rsidR="00027FAF">
        <w:rPr>
          <w:rFonts w:ascii="Cambria" w:hAnsi="Cambria" w:cs="Cambria"/>
        </w:rPr>
        <w:t>14</w:t>
      </w:r>
      <w:r w:rsidR="00703861">
        <w:rPr>
          <w:rFonts w:ascii="Cambria" w:hAnsi="Cambria" w:cs="Cambria"/>
        </w:rPr>
        <w:t>R000 / IPNNI-2023-000</w:t>
      </w:r>
      <w:r w:rsidR="00027FAF">
        <w:rPr>
          <w:rFonts w:ascii="Cambria" w:hAnsi="Cambria" w:cs="Cambria"/>
        </w:rPr>
        <w:t>10</w:t>
      </w:r>
      <w:r w:rsidR="00703861">
        <w:rPr>
          <w:rFonts w:ascii="Cambria" w:hAnsi="Cambria" w:cs="Cambria"/>
        </w:rPr>
        <w:t>R000, Closing letter for PTSC-LB-279</w:t>
      </w:r>
    </w:p>
    <w:p w14:paraId="0659C590" w14:textId="7A34B602" w:rsidR="00027FAF" w:rsidRDefault="00743EFA" w:rsidP="00703861">
      <w:pPr>
        <w:pStyle w:val="ListParagraph"/>
        <w:numPr>
          <w:ilvl w:val="0"/>
          <w:numId w:val="5"/>
        </w:numPr>
        <w:spacing w:before="120" w:after="120"/>
        <w:rPr>
          <w:rFonts w:ascii="Cambria" w:hAnsi="Cambria" w:cs="Cambria"/>
        </w:rPr>
      </w:pPr>
      <w:r>
        <w:rPr>
          <w:rFonts w:ascii="Cambria" w:hAnsi="Cambria" w:cs="Cambria"/>
        </w:rPr>
        <w:t>PTSC-2023-00010R000, Sinch comments</w:t>
      </w:r>
    </w:p>
    <w:p w14:paraId="0D3F5E8B" w14:textId="2317B6A0" w:rsidR="00743EFA" w:rsidRDefault="00743EFA" w:rsidP="00703861">
      <w:pPr>
        <w:pStyle w:val="ListParagraph"/>
        <w:numPr>
          <w:ilvl w:val="0"/>
          <w:numId w:val="5"/>
        </w:numPr>
        <w:spacing w:before="120" w:after="120"/>
        <w:rPr>
          <w:rFonts w:ascii="Cambria" w:hAnsi="Cambria" w:cs="Cambria"/>
        </w:rPr>
      </w:pPr>
      <w:r>
        <w:rPr>
          <w:rFonts w:ascii="Cambria" w:hAnsi="Cambria" w:cs="Cambria"/>
        </w:rPr>
        <w:t xml:space="preserve">PTSC-2023-00011R000, </w:t>
      </w:r>
      <w:r w:rsidR="00821EEC">
        <w:rPr>
          <w:rFonts w:ascii="Cambria" w:hAnsi="Cambria" w:cs="Cambria"/>
        </w:rPr>
        <w:t xml:space="preserve">Neustar </w:t>
      </w:r>
      <w:r>
        <w:rPr>
          <w:rFonts w:ascii="Cambria" w:hAnsi="Cambria" w:cs="Cambria"/>
        </w:rPr>
        <w:t>comments</w:t>
      </w:r>
    </w:p>
    <w:p w14:paraId="5EEC0C44" w14:textId="018204D5" w:rsidR="00743EFA" w:rsidRDefault="00743EFA" w:rsidP="00703861">
      <w:pPr>
        <w:pStyle w:val="ListParagraph"/>
        <w:numPr>
          <w:ilvl w:val="0"/>
          <w:numId w:val="5"/>
        </w:numPr>
        <w:spacing w:before="120" w:after="120"/>
        <w:rPr>
          <w:rFonts w:ascii="Cambria" w:hAnsi="Cambria" w:cs="Cambria"/>
        </w:rPr>
      </w:pPr>
      <w:r>
        <w:rPr>
          <w:rFonts w:ascii="Cambria" w:hAnsi="Cambria" w:cs="Cambria"/>
        </w:rPr>
        <w:t xml:space="preserve">PTSC-2023-00012R000, </w:t>
      </w:r>
      <w:r w:rsidR="00821EEC">
        <w:rPr>
          <w:rFonts w:ascii="Cambria" w:hAnsi="Cambria" w:cs="Cambria"/>
        </w:rPr>
        <w:t>Comcast comments</w:t>
      </w:r>
    </w:p>
    <w:p w14:paraId="40D1F963" w14:textId="0C052AC2" w:rsidR="00821EEC" w:rsidRPr="00746019" w:rsidRDefault="00821EEC" w:rsidP="00703861">
      <w:pPr>
        <w:pStyle w:val="ListParagraph"/>
        <w:numPr>
          <w:ilvl w:val="0"/>
          <w:numId w:val="5"/>
        </w:numPr>
        <w:spacing w:before="120" w:after="120"/>
        <w:rPr>
          <w:rFonts w:ascii="Cambria" w:hAnsi="Cambria" w:cs="Cambria"/>
        </w:rPr>
      </w:pPr>
      <w:r>
        <w:rPr>
          <w:rFonts w:ascii="Cambria" w:hAnsi="Cambria" w:cs="Cambria"/>
        </w:rPr>
        <w:t>PTSC-2023-00013R000, Google comments</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lastRenderedPageBreak/>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D21BCA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sidR="000857D8">
        <w:rPr>
          <w:rFonts w:ascii="Cambria" w:hAnsi="Cambria" w:cs="Cambria"/>
        </w:rPr>
        <w:t>4</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39196F03" w:rsidR="007C718F" w:rsidRPr="007A2FD9" w:rsidRDefault="00E62FC1" w:rsidP="007C718F">
      <w:pPr>
        <w:pStyle w:val="Heading1"/>
        <w:pBdr>
          <w:top w:val="none" w:sz="0" w:space="0" w:color="auto"/>
          <w:left w:val="none" w:sz="0" w:space="0" w:color="auto"/>
          <w:bottom w:val="none" w:sz="0" w:space="0" w:color="auto"/>
          <w:right w:val="none" w:sz="0" w:space="0" w:color="auto"/>
        </w:pBdr>
        <w:spacing w:before="240"/>
      </w:pPr>
      <w:r>
        <w:t>ATIS-1000078.v002</w:t>
      </w:r>
      <w:r w:rsidR="00982F5A">
        <w:t xml:space="preserve">, </w:t>
      </w:r>
      <w:r w:rsidR="00A05BA5" w:rsidRPr="00982F5A">
        <w:t>NATIONAL SECURITY / EMERGENCY PREPAREDNESS PRIORITY SERVICE SESSION INITIATION PROTOCOL RESOURCE-PRIORITY HEADER (SIP RPH) SIGNING AND VERIFICATION USING PASSPORTS</w:t>
      </w:r>
    </w:p>
    <w:p w14:paraId="5C331B8C" w14:textId="29C100C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sidR="00982F5A">
        <w:rPr>
          <w:rFonts w:ascii="Cambria" w:hAnsi="Cambria" w:cs="Cambria"/>
        </w:rPr>
        <w:t>94</w:t>
      </w:r>
      <w:r w:rsidRPr="00F16BE9">
        <w:rPr>
          <w:rFonts w:ascii="Cambria" w:hAnsi="Cambria" w:cs="Cambria"/>
        </w:rPr>
        <w:t>R00</w:t>
      </w:r>
      <w:r w:rsidR="00982F5A">
        <w:rPr>
          <w:rFonts w:ascii="Cambria" w:hAnsi="Cambria" w:cs="Cambria"/>
        </w:rPr>
        <w:t>0</w:t>
      </w:r>
      <w:r w:rsidRPr="00F16BE9">
        <w:rPr>
          <w:rFonts w:ascii="Cambria" w:hAnsi="Cambria" w:cs="Cambria"/>
        </w:rPr>
        <w:t xml:space="preserve">, </w:t>
      </w:r>
      <w:r w:rsidR="007A3773">
        <w:rPr>
          <w:rFonts w:ascii="Cambria" w:hAnsi="Cambria" w:cs="Cambria"/>
        </w:rPr>
        <w:t>ATIS-1000078.v002 draft baseline [rev baseline]</w:t>
      </w:r>
    </w:p>
    <w:p w14:paraId="79FDB7F3" w14:textId="67573958" w:rsidR="00AF54C0" w:rsidRDefault="00AF54C0" w:rsidP="00082391">
      <w:pPr>
        <w:pStyle w:val="Heading1"/>
        <w:pBdr>
          <w:top w:val="none" w:sz="0" w:space="0" w:color="auto"/>
          <w:left w:val="none" w:sz="0" w:space="0" w:color="auto"/>
          <w:bottom w:val="none" w:sz="0" w:space="0" w:color="auto"/>
          <w:right w:val="none" w:sz="0" w:space="0" w:color="auto"/>
        </w:pBdr>
        <w:spacing w:before="240"/>
      </w:pPr>
      <w:r w:rsidRPr="00AF54C0">
        <w:t>SMS UNWANTED MESSAGE MITIGATION LANDSCAPE</w:t>
      </w:r>
    </w:p>
    <w:p w14:paraId="1BFF3D71" w14:textId="772CD63A" w:rsidR="00AF54C0" w:rsidRDefault="00AF54C0" w:rsidP="00AF54C0">
      <w:pPr>
        <w:pStyle w:val="ListParagraph"/>
        <w:numPr>
          <w:ilvl w:val="0"/>
          <w:numId w:val="5"/>
        </w:numPr>
        <w:spacing w:before="120" w:after="120"/>
        <w:rPr>
          <w:rFonts w:ascii="Cambria" w:hAnsi="Cambria" w:cs="Cambria"/>
        </w:rPr>
      </w:pPr>
      <w:r>
        <w:rPr>
          <w:rFonts w:ascii="Cambria" w:hAnsi="Cambria" w:cs="Cambria"/>
        </w:rPr>
        <w:t>IPNNI-202</w:t>
      </w:r>
      <w:r w:rsidR="00B1336C">
        <w:rPr>
          <w:rFonts w:ascii="Cambria" w:hAnsi="Cambria" w:cs="Cambria"/>
        </w:rPr>
        <w:t>3</w:t>
      </w:r>
      <w:r>
        <w:rPr>
          <w:rFonts w:ascii="Cambria" w:hAnsi="Cambria" w:cs="Cambria"/>
        </w:rPr>
        <w:t>-00</w:t>
      </w:r>
      <w:r w:rsidR="00B1336C">
        <w:rPr>
          <w:rFonts w:ascii="Cambria" w:hAnsi="Cambria" w:cs="Cambria"/>
        </w:rPr>
        <w:t>004</w:t>
      </w:r>
      <w:r>
        <w:rPr>
          <w:rFonts w:ascii="Cambria" w:hAnsi="Cambria" w:cs="Cambria"/>
        </w:rPr>
        <w:t>R000, SMS Unwanted Message Mitigation Landscape</w:t>
      </w:r>
      <w:r w:rsidR="00CE7B63">
        <w:rPr>
          <w:rFonts w:ascii="Cambria" w:hAnsi="Cambria" w:cs="Cambria"/>
        </w:rPr>
        <w:t xml:space="preserve"> </w:t>
      </w:r>
      <w:r w:rsidR="00B1336C">
        <w:rPr>
          <w:rFonts w:ascii="Cambria" w:hAnsi="Cambria" w:cs="Cambria"/>
        </w:rPr>
        <w:t>(B</w:t>
      </w:r>
      <w:r w:rsidR="00CE7B63">
        <w:rPr>
          <w:rFonts w:ascii="Cambria" w:hAnsi="Cambria" w:cs="Cambria"/>
        </w:rPr>
        <w:t>aseline</w:t>
      </w:r>
      <w:r w:rsidR="00B1336C">
        <w:rPr>
          <w:rFonts w:ascii="Cambria" w:hAnsi="Cambria" w:cs="Cambria"/>
        </w:rPr>
        <w:t>)</w:t>
      </w:r>
    </w:p>
    <w:p w14:paraId="03E57848" w14:textId="581E9225" w:rsidR="003D7D0B" w:rsidRDefault="003D7D0B" w:rsidP="003D7D0B">
      <w:pPr>
        <w:pStyle w:val="ListParagraph"/>
        <w:numPr>
          <w:ilvl w:val="0"/>
          <w:numId w:val="5"/>
        </w:numPr>
        <w:spacing w:before="120" w:after="120"/>
        <w:rPr>
          <w:rFonts w:ascii="Cambria" w:hAnsi="Cambria" w:cs="Cambria"/>
        </w:rPr>
      </w:pPr>
      <w:r>
        <w:rPr>
          <w:rFonts w:ascii="Cambria" w:hAnsi="Cambria" w:cs="Cambria"/>
        </w:rPr>
        <w:t>IPNNI-2023-00004R001, SMS Unwanted Message Mitigation Landscape [revmarked]</w:t>
      </w:r>
    </w:p>
    <w:p w14:paraId="035F8E5F" w14:textId="5AE27696" w:rsidR="003D7D0B" w:rsidRPr="003D7D0B" w:rsidRDefault="003D7D0B" w:rsidP="00CC7907">
      <w:pPr>
        <w:pStyle w:val="ListParagraph"/>
        <w:numPr>
          <w:ilvl w:val="0"/>
          <w:numId w:val="5"/>
        </w:numPr>
        <w:spacing w:before="120" w:after="120"/>
        <w:rPr>
          <w:rFonts w:ascii="Cambria" w:hAnsi="Cambria" w:cs="Cambria"/>
        </w:rPr>
      </w:pPr>
      <w:r w:rsidRPr="003D7D0B">
        <w:rPr>
          <w:rFonts w:ascii="Cambria" w:hAnsi="Cambria" w:cs="Cambria"/>
        </w:rPr>
        <w:t>IPNNI-2023-00004R00</w:t>
      </w:r>
      <w:r>
        <w:rPr>
          <w:rFonts w:ascii="Cambria" w:hAnsi="Cambria" w:cs="Cambria"/>
        </w:rPr>
        <w:t>2</w:t>
      </w:r>
      <w:r w:rsidRPr="003D7D0B">
        <w:rPr>
          <w:rFonts w:ascii="Cambria" w:hAnsi="Cambria" w:cs="Cambria"/>
        </w:rPr>
        <w:t xml:space="preserve">, SMS Unwanted Message Mitigation Landscape </w:t>
      </w:r>
      <w:r>
        <w:rPr>
          <w:rFonts w:ascii="Cambria" w:hAnsi="Cambria" w:cs="Cambria"/>
        </w:rPr>
        <w:t>[clean]</w:t>
      </w:r>
    </w:p>
    <w:p w14:paraId="0AE63E21" w14:textId="543E6D8E"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47AB70D" w14:textId="67BAACC4" w:rsidR="005916BD" w:rsidRDefault="007C256C" w:rsidP="007C256C">
      <w:pPr>
        <w:pStyle w:val="ListParagraph"/>
        <w:numPr>
          <w:ilvl w:val="0"/>
          <w:numId w:val="5"/>
        </w:numPr>
        <w:spacing w:before="120" w:after="120"/>
        <w:rPr>
          <w:rFonts w:ascii="Cambria" w:hAnsi="Cambria"/>
        </w:rPr>
      </w:pPr>
      <w:r w:rsidRPr="007C256C">
        <w:rPr>
          <w:rFonts w:ascii="Cambria" w:hAnsi="Cambria"/>
        </w:rPr>
        <w:t>IPNNI-2022-00102R000, IP-NNI Procedural Enhancements [previously noted]</w:t>
      </w:r>
    </w:p>
    <w:p w14:paraId="5F7904F5" w14:textId="6A398B7D" w:rsidR="00643D3A" w:rsidRPr="007C256C" w:rsidRDefault="0074415B" w:rsidP="007C256C">
      <w:pPr>
        <w:pStyle w:val="ListParagraph"/>
        <w:numPr>
          <w:ilvl w:val="0"/>
          <w:numId w:val="5"/>
        </w:numPr>
        <w:spacing w:before="120" w:after="120"/>
        <w:rPr>
          <w:rFonts w:ascii="Cambria" w:hAnsi="Cambria"/>
        </w:rPr>
      </w:pPr>
      <w:r>
        <w:rPr>
          <w:rFonts w:ascii="Cambria" w:hAnsi="Cambria"/>
        </w:rPr>
        <w:lastRenderedPageBreak/>
        <w:t>IPNNI-2023-00003R00</w:t>
      </w:r>
      <w:r w:rsidR="00D62D56">
        <w:rPr>
          <w:rFonts w:ascii="Cambria" w:hAnsi="Cambria"/>
        </w:rPr>
        <w:t>2</w:t>
      </w:r>
      <w:r>
        <w:rPr>
          <w:rFonts w:ascii="Cambria" w:hAnsi="Cambria"/>
        </w:rPr>
        <w:t>, Edits to ATIS-1000087, Mechanism for Initial Cross-Border Signature-based Handling of Asserted information using toKENs (SHAKEN)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258486E" w:rsidR="00082391" w:rsidRPr="00DE78CB" w:rsidRDefault="00082391" w:rsidP="005942C3">
      <w:pPr>
        <w:pStyle w:val="ListParagraph"/>
        <w:numPr>
          <w:ilvl w:val="0"/>
          <w:numId w:val="5"/>
        </w:numPr>
        <w:spacing w:before="120" w:after="120"/>
        <w:rPr>
          <w:rFonts w:ascii="Cambria" w:hAnsi="Cambria" w:cs="Cambria"/>
        </w:rPr>
      </w:pPr>
      <w:bookmarkStart w:id="0" w:name="_Hlk20910228"/>
      <w:r w:rsidRPr="00DE78CB">
        <w:rPr>
          <w:rFonts w:ascii="Cambria" w:hAnsi="Cambria"/>
        </w:rPr>
        <w:t>IPNNI-20</w:t>
      </w:r>
      <w:r w:rsidR="0090723C">
        <w:rPr>
          <w:rFonts w:ascii="Cambria" w:hAnsi="Cambria"/>
        </w:rPr>
        <w:t>2</w:t>
      </w:r>
      <w:r w:rsidR="00AF54C0">
        <w:rPr>
          <w:rFonts w:ascii="Cambria" w:hAnsi="Cambria"/>
        </w:rPr>
        <w:t>3</w:t>
      </w:r>
      <w:r w:rsidRPr="00DE78CB">
        <w:rPr>
          <w:rFonts w:ascii="Cambria" w:hAnsi="Cambria"/>
        </w:rPr>
        <w:t>-</w:t>
      </w:r>
      <w:r w:rsidRPr="008066F6">
        <w:rPr>
          <w:rFonts w:ascii="Cambria" w:hAnsi="Cambria"/>
        </w:rPr>
        <w:t>000</w:t>
      </w:r>
      <w:r w:rsidR="00672908">
        <w:rPr>
          <w:rFonts w:ascii="Cambria" w:hAnsi="Cambria"/>
        </w:rPr>
        <w:t>01</w:t>
      </w:r>
      <w:r w:rsidRPr="008066F6">
        <w:rPr>
          <w:rFonts w:ascii="Cambria" w:hAnsi="Cambria"/>
        </w:rPr>
        <w:t>R0</w:t>
      </w:r>
      <w:r w:rsidR="00AF54C0">
        <w:rPr>
          <w:rFonts w:ascii="Cambria" w:hAnsi="Cambria"/>
        </w:rPr>
        <w:t>0</w:t>
      </w:r>
      <w:r w:rsidR="00494D98">
        <w:rPr>
          <w:rFonts w:ascii="Cambria" w:hAnsi="Cambria"/>
        </w:rPr>
        <w:t>1</w:t>
      </w:r>
      <w:r w:rsidRPr="00DE78CB">
        <w:rPr>
          <w:rFonts w:ascii="Cambria" w:hAnsi="Cambria"/>
        </w:rPr>
        <w:t xml:space="preserve">, </w:t>
      </w:r>
      <w:r w:rsidRPr="00DE78CB">
        <w:rPr>
          <w:rFonts w:ascii="Cambria" w:hAnsi="Cambria"/>
          <w:i/>
        </w:rPr>
        <w:t>IP-NNI Document Tracker</w:t>
      </w:r>
    </w:p>
    <w:bookmarkEnd w:id="0"/>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0F881AAF"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56AE2942" w:rsidR="000B3949" w:rsidRPr="00B674AE" w:rsidRDefault="00494D98" w:rsidP="003671EE">
      <w:pPr>
        <w:numPr>
          <w:ilvl w:val="0"/>
          <w:numId w:val="3"/>
        </w:numPr>
        <w:spacing w:after="120"/>
      </w:pPr>
      <w:r>
        <w:t xml:space="preserve">TBD </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5CEF" w14:textId="77777777" w:rsidR="00A71B88" w:rsidRDefault="00A71B88">
      <w:r>
        <w:separator/>
      </w:r>
    </w:p>
  </w:endnote>
  <w:endnote w:type="continuationSeparator" w:id="0">
    <w:p w14:paraId="2FC07E41" w14:textId="77777777" w:rsidR="00A71B88" w:rsidRDefault="00A71B88">
      <w:r>
        <w:continuationSeparator/>
      </w:r>
    </w:p>
  </w:endnote>
  <w:endnote w:type="continuationNotice" w:id="1">
    <w:p w14:paraId="65C70C46" w14:textId="77777777" w:rsidR="00A71B88" w:rsidRDefault="00A71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238D" w14:textId="77777777" w:rsidR="00A71B88" w:rsidRDefault="00A71B88">
      <w:r>
        <w:separator/>
      </w:r>
    </w:p>
  </w:footnote>
  <w:footnote w:type="continuationSeparator" w:id="0">
    <w:p w14:paraId="1732DD4B" w14:textId="77777777" w:rsidR="00A71B88" w:rsidRDefault="00A71B88">
      <w:r>
        <w:continuationSeparator/>
      </w:r>
    </w:p>
  </w:footnote>
  <w:footnote w:type="continuationNotice" w:id="1">
    <w:p w14:paraId="280EDA52" w14:textId="77777777" w:rsidR="00A71B88" w:rsidRDefault="00A71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65pt;height:12.6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 w:numId="8" w16cid:durableId="3033958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27FAF"/>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476"/>
    <w:rsid w:val="000857D8"/>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742"/>
    <w:rsid w:val="000A4B8D"/>
    <w:rsid w:val="000A5007"/>
    <w:rsid w:val="000A524B"/>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1E72"/>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5EA"/>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8E7"/>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6ED2"/>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45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0F4D"/>
    <w:rsid w:val="00291699"/>
    <w:rsid w:val="002916A2"/>
    <w:rsid w:val="00291A6D"/>
    <w:rsid w:val="00291FD8"/>
    <w:rsid w:val="00292047"/>
    <w:rsid w:val="00292643"/>
    <w:rsid w:val="00292D38"/>
    <w:rsid w:val="002940F7"/>
    <w:rsid w:val="00294896"/>
    <w:rsid w:val="00295ED4"/>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818"/>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4"/>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9F4"/>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584F"/>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104"/>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96F"/>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D7D0B"/>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4FE7"/>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446"/>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39D0"/>
    <w:rsid w:val="00494397"/>
    <w:rsid w:val="00494BAE"/>
    <w:rsid w:val="00494D98"/>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6F27"/>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081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18A3"/>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BD"/>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1DF5"/>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04A"/>
    <w:rsid w:val="00586364"/>
    <w:rsid w:val="005868E8"/>
    <w:rsid w:val="00586E21"/>
    <w:rsid w:val="0058734A"/>
    <w:rsid w:val="0058741A"/>
    <w:rsid w:val="005877E5"/>
    <w:rsid w:val="00587A7A"/>
    <w:rsid w:val="0059086C"/>
    <w:rsid w:val="005910E5"/>
    <w:rsid w:val="005912C9"/>
    <w:rsid w:val="00591338"/>
    <w:rsid w:val="005916BD"/>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4C73"/>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C06"/>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0233"/>
    <w:rsid w:val="00641250"/>
    <w:rsid w:val="00641659"/>
    <w:rsid w:val="00642D2A"/>
    <w:rsid w:val="00642E47"/>
    <w:rsid w:val="00643D3A"/>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2908"/>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24B"/>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3D4"/>
    <w:rsid w:val="006B1F3A"/>
    <w:rsid w:val="006B1F9A"/>
    <w:rsid w:val="006B20DF"/>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4D3"/>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86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175A3"/>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4D6"/>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3EFA"/>
    <w:rsid w:val="0074415B"/>
    <w:rsid w:val="007449FA"/>
    <w:rsid w:val="00745160"/>
    <w:rsid w:val="007453FF"/>
    <w:rsid w:val="007459DA"/>
    <w:rsid w:val="00745F7D"/>
    <w:rsid w:val="00746019"/>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449"/>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47C"/>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3773"/>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1EEC"/>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165"/>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4DDF"/>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06F"/>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6B5F"/>
    <w:rsid w:val="00957284"/>
    <w:rsid w:val="009578FF"/>
    <w:rsid w:val="00957B82"/>
    <w:rsid w:val="009615EF"/>
    <w:rsid w:val="00961631"/>
    <w:rsid w:val="0096164C"/>
    <w:rsid w:val="009618D4"/>
    <w:rsid w:val="00962165"/>
    <w:rsid w:val="00962180"/>
    <w:rsid w:val="00962243"/>
    <w:rsid w:val="00962607"/>
    <w:rsid w:val="00962AF4"/>
    <w:rsid w:val="00963CCE"/>
    <w:rsid w:val="00963F5C"/>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50D"/>
    <w:rsid w:val="00974D61"/>
    <w:rsid w:val="00975524"/>
    <w:rsid w:val="0097567F"/>
    <w:rsid w:val="009756D6"/>
    <w:rsid w:val="009759A2"/>
    <w:rsid w:val="00975C60"/>
    <w:rsid w:val="009760AA"/>
    <w:rsid w:val="009775B3"/>
    <w:rsid w:val="00977CD0"/>
    <w:rsid w:val="00980AAB"/>
    <w:rsid w:val="009810BD"/>
    <w:rsid w:val="00982B86"/>
    <w:rsid w:val="00982F5A"/>
    <w:rsid w:val="0098393F"/>
    <w:rsid w:val="00983C8C"/>
    <w:rsid w:val="009840F0"/>
    <w:rsid w:val="00984152"/>
    <w:rsid w:val="009844FC"/>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BA5"/>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B88"/>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C0"/>
    <w:rsid w:val="00AF54FB"/>
    <w:rsid w:val="00AF56F0"/>
    <w:rsid w:val="00AF65FA"/>
    <w:rsid w:val="00AF6B3A"/>
    <w:rsid w:val="00AF72B3"/>
    <w:rsid w:val="00AF75FD"/>
    <w:rsid w:val="00AF781A"/>
    <w:rsid w:val="00AF7BAD"/>
    <w:rsid w:val="00AF7DE7"/>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336C"/>
    <w:rsid w:val="00B143B4"/>
    <w:rsid w:val="00B14A1C"/>
    <w:rsid w:val="00B14BA4"/>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5E59"/>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062"/>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4FD"/>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4CC2"/>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0DC"/>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58D9"/>
    <w:rsid w:val="00C66646"/>
    <w:rsid w:val="00C66B6C"/>
    <w:rsid w:val="00C676F4"/>
    <w:rsid w:val="00C7037C"/>
    <w:rsid w:val="00C707B1"/>
    <w:rsid w:val="00C70D8F"/>
    <w:rsid w:val="00C714A3"/>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68E"/>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B63"/>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3BFE"/>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37FD3"/>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2D56"/>
    <w:rsid w:val="00D6324D"/>
    <w:rsid w:val="00D63C40"/>
    <w:rsid w:val="00D63FCA"/>
    <w:rsid w:val="00D6417F"/>
    <w:rsid w:val="00D64652"/>
    <w:rsid w:val="00D6479C"/>
    <w:rsid w:val="00D64CB1"/>
    <w:rsid w:val="00D65021"/>
    <w:rsid w:val="00D65925"/>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22D"/>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C30"/>
    <w:rsid w:val="00DD0EE2"/>
    <w:rsid w:val="00DD17CD"/>
    <w:rsid w:val="00DD2BB0"/>
    <w:rsid w:val="00DD375B"/>
    <w:rsid w:val="00DD3DDA"/>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175"/>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37ADB"/>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2FC1"/>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842"/>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4BC4"/>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1DFB"/>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AD"/>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2EF"/>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680</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5278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319</cp:revision>
  <cp:lastPrinted>2020-02-28T17:07:00Z</cp:lastPrinted>
  <dcterms:created xsi:type="dcterms:W3CDTF">2022-03-16T13:32:00Z</dcterms:created>
  <dcterms:modified xsi:type="dcterms:W3CDTF">2023-03-14T13:34:00Z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