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606"/>
        <w:gridCol w:w="3898"/>
        <w:gridCol w:w="2047"/>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0A79818" w:rsidR="007E23D3" w:rsidRPr="007E23D3" w:rsidRDefault="00322FDB" w:rsidP="00572688">
            <w:pPr>
              <w:rPr>
                <w:rFonts w:cs="Arial"/>
                <w:sz w:val="18"/>
                <w:szCs w:val="18"/>
              </w:rPr>
            </w:pPr>
            <w:r>
              <w:rPr>
                <w:rFonts w:cs="Arial"/>
                <w:sz w:val="18"/>
                <w:szCs w:val="18"/>
              </w:rPr>
              <w:t>December 7, 2022</w:t>
            </w: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88" w:type="dxa"/>
          </w:tcPr>
          <w:p w14:paraId="4DDBEF00" w14:textId="65781951" w:rsidR="007E23D3" w:rsidRPr="007E23D3" w:rsidRDefault="00D034AA" w:rsidP="00572688">
            <w:pPr>
              <w:jc w:val="left"/>
              <w:rPr>
                <w:rFonts w:cs="Arial"/>
                <w:sz w:val="18"/>
                <w:szCs w:val="18"/>
              </w:rPr>
            </w:pPr>
            <w:r>
              <w:rPr>
                <w:rFonts w:cs="Arial"/>
                <w:sz w:val="18"/>
                <w:szCs w:val="18"/>
              </w:rPr>
              <w:t>Ben Campbell</w:t>
            </w:r>
          </w:p>
        </w:tc>
      </w:tr>
      <w:tr w:rsidR="00D034AA" w:rsidRPr="007E23D3" w14:paraId="4C35A895" w14:textId="77777777">
        <w:tc>
          <w:tcPr>
            <w:tcW w:w="2574" w:type="dxa"/>
          </w:tcPr>
          <w:p w14:paraId="63FB3326" w14:textId="1AF7A215" w:rsidR="00D034AA" w:rsidRDefault="00D034AA" w:rsidP="00572688">
            <w:pPr>
              <w:rPr>
                <w:rFonts w:cs="Arial"/>
                <w:sz w:val="18"/>
                <w:szCs w:val="18"/>
              </w:rPr>
            </w:pPr>
            <w:r>
              <w:rPr>
                <w:rFonts w:cs="Arial"/>
                <w:sz w:val="18"/>
                <w:szCs w:val="18"/>
              </w:rPr>
              <w:t>February 6, 2023</w:t>
            </w:r>
          </w:p>
        </w:tc>
        <w:tc>
          <w:tcPr>
            <w:tcW w:w="1634" w:type="dxa"/>
          </w:tcPr>
          <w:p w14:paraId="36E62740" w14:textId="77777777" w:rsidR="00D034AA" w:rsidRPr="007E23D3" w:rsidRDefault="00D034AA" w:rsidP="00572688">
            <w:pPr>
              <w:rPr>
                <w:rFonts w:cs="Arial"/>
                <w:sz w:val="18"/>
                <w:szCs w:val="18"/>
              </w:rPr>
            </w:pPr>
          </w:p>
        </w:tc>
        <w:tc>
          <w:tcPr>
            <w:tcW w:w="4000" w:type="dxa"/>
          </w:tcPr>
          <w:p w14:paraId="367C920D" w14:textId="1CAE26F3" w:rsidR="00D034AA" w:rsidRDefault="00D034AA" w:rsidP="00572688">
            <w:pPr>
              <w:pStyle w:val="CommentSubject"/>
              <w:jc w:val="left"/>
              <w:rPr>
                <w:rFonts w:cs="Arial"/>
                <w:b w:val="0"/>
                <w:sz w:val="18"/>
                <w:szCs w:val="18"/>
              </w:rPr>
            </w:pPr>
            <w:r>
              <w:rPr>
                <w:rFonts w:cs="Arial"/>
                <w:b w:val="0"/>
                <w:sz w:val="18"/>
                <w:szCs w:val="18"/>
              </w:rPr>
              <w:t>Added more text to overview and architecture sections.</w:t>
            </w:r>
          </w:p>
        </w:tc>
        <w:tc>
          <w:tcPr>
            <w:tcW w:w="2088" w:type="dxa"/>
          </w:tcPr>
          <w:p w14:paraId="63FBC15B" w14:textId="3E067469" w:rsidR="00D034AA" w:rsidRDefault="00D034AA" w:rsidP="00572688">
            <w:pPr>
              <w:jc w:val="left"/>
              <w:rPr>
                <w:rFonts w:cs="Arial"/>
                <w:sz w:val="18"/>
                <w:szCs w:val="18"/>
              </w:rPr>
            </w:pPr>
            <w:r>
              <w:rPr>
                <w:rFonts w:cs="Arial"/>
                <w:sz w:val="18"/>
                <w:szCs w:val="18"/>
              </w:rPr>
              <w:t>Ben Campbell</w:t>
            </w:r>
            <w:r w:rsidR="002C1180">
              <w:rPr>
                <w:rFonts w:cs="Arial"/>
                <w:sz w:val="18"/>
                <w:szCs w:val="18"/>
              </w:rPr>
              <w:t xml:space="preserve"> and Harold Salters</w:t>
            </w: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893D1A">
      <w:pPr>
        <w:pStyle w:val="Heading1"/>
      </w:pPr>
      <w:r>
        <w:lastRenderedPageBreak/>
        <w:t>Scope, Purpose, &amp; Application</w:t>
      </w:r>
    </w:p>
    <w:p w14:paraId="56DABE0D" w14:textId="77777777" w:rsidR="00424AF1" w:rsidRDefault="00424AF1" w:rsidP="00424AF1">
      <w:pPr>
        <w:pStyle w:val="Heading2"/>
      </w:pPr>
      <w:r>
        <w:t>Scope</w:t>
      </w:r>
    </w:p>
    <w:p w14:paraId="592224D4" w14:textId="67D807ED" w:rsidR="00424AF1" w:rsidRDefault="00F3414C" w:rsidP="00424AF1">
      <w:r>
        <w:t xml:space="preserve">This Technical Report describes the landscape </w:t>
      </w:r>
      <w:r w:rsidR="002C1180">
        <w:t>of actions that service providers can take</w:t>
      </w:r>
      <w:r>
        <w:t xml:space="preserve"> to mitigate </w:t>
      </w:r>
      <w:proofErr w:type="spellStart"/>
      <w:r>
        <w:t>lllegal</w:t>
      </w:r>
      <w:proofErr w:type="spellEnd"/>
      <w:r>
        <w:t xml:space="preserve">, fraudulent, or otherwise unwanted SMS text messages. </w:t>
      </w:r>
      <w:r w:rsidR="002C1180">
        <w:t>We</w:t>
      </w:r>
      <w:r>
        <w:t xml:space="preserve"> describe example message deliver architectures, existing countermeasures, methods used by bad actors to send unwanted messages, </w:t>
      </w:r>
      <w:r w:rsidR="002C1180">
        <w:t xml:space="preserve">existing countermeasures, </w:t>
      </w:r>
      <w:r>
        <w:t>and</w:t>
      </w:r>
      <w:r w:rsidR="002C1180">
        <w:t xml:space="preserve"> provide</w:t>
      </w:r>
      <w:r>
        <w:t xml:space="preserve"> a gap analysis. This document is entirely description of the existing landscape; nothing herein should be interpreted as normative or otherwise prescriptive.</w:t>
      </w:r>
    </w:p>
    <w:p w14:paraId="60CB5D78" w14:textId="39A1C0D9" w:rsidR="002C1180" w:rsidRDefault="00F3414C" w:rsidP="002C1180">
      <w:r>
        <w:t>This document is limited to SMS messaging. It does not look at RCS messaging or over-the-top messaging services.</w:t>
      </w:r>
      <w:r w:rsidR="002C1180">
        <w:t xml:space="preserve"> As SMS texting has evolved to include,</w:t>
      </w:r>
      <w:r w:rsidR="00144531">
        <w:t xml:space="preserve"> </w:t>
      </w:r>
      <w:r w:rsidR="002C1180">
        <w:t>at least in the consumer’s perception, the routine use of Multimedia Messaging Service, we include MMS where applicable.</w:t>
      </w:r>
    </w:p>
    <w:p w14:paraId="1F72F646" w14:textId="77777777" w:rsidR="00424AF1" w:rsidRDefault="00424AF1" w:rsidP="00424AF1"/>
    <w:p w14:paraId="39EC13BE" w14:textId="77777777" w:rsidR="00424AF1" w:rsidRDefault="00424AF1" w:rsidP="00424AF1">
      <w:pPr>
        <w:pStyle w:val="Heading2"/>
      </w:pPr>
      <w:r>
        <w:t>Purpose</w:t>
      </w:r>
    </w:p>
    <w:p w14:paraId="73C6110E" w14:textId="65B50A5A" w:rsidR="00424AF1" w:rsidRDefault="00F3414C" w:rsidP="00424AF1">
      <w:r>
        <w:t xml:space="preserve">As </w:t>
      </w:r>
      <w:r w:rsidR="002C1180">
        <w:t xml:space="preserve">the implementation of </w:t>
      </w:r>
      <w:r>
        <w:t xml:space="preserve">various </w:t>
      </w:r>
      <w:r w:rsidR="002C1180">
        <w:t xml:space="preserve">regulatory measures </w:t>
      </w:r>
      <w:r>
        <w:t>and mitigation techniques have begun to reduce unwanted “robocalls”, more bad actors are moving to other modes of communication, such as SMS text messaging. IP-NNI has begun discussions about mitigation of unwanted text messages. This document is intended to document the current landscape of unwanted text delivery techniques and service provider countermeasures to serve as a basis for future discussion. While it describes perceived gaps It does not attempt to design new mitigation solutions.</w:t>
      </w:r>
    </w:p>
    <w:p w14:paraId="7EFC44BC" w14:textId="257502CC" w:rsidR="00322FDB" w:rsidRDefault="00322FDB" w:rsidP="00424AF1">
      <w:r>
        <w:t>[</w:t>
      </w:r>
      <w:r w:rsidRPr="00322FDB">
        <w:rPr>
          <w:highlight w:val="yellow"/>
        </w:rPr>
        <w:t xml:space="preserve">Note: This version of the </w:t>
      </w:r>
      <w:r w:rsidR="002C1180">
        <w:rPr>
          <w:highlight w:val="yellow"/>
        </w:rPr>
        <w:t>report</w:t>
      </w:r>
      <w:r w:rsidR="002C1180" w:rsidRPr="00322FDB">
        <w:rPr>
          <w:highlight w:val="yellow"/>
        </w:rPr>
        <w:t xml:space="preserve"> </w:t>
      </w:r>
      <w:r w:rsidR="002C1180">
        <w:t>is not complete</w:t>
      </w:r>
      <w:r>
        <w:t>.</w:t>
      </w:r>
      <w:r w:rsidR="002C1180">
        <w:t xml:space="preserve"> We contribute it to enable early discussion of the problem statement and SMS delivery architecture description</w:t>
      </w:r>
      <w:r>
        <w:t>]</w:t>
      </w:r>
    </w:p>
    <w:p w14:paraId="08CE6F91" w14:textId="77777777" w:rsidR="00424AF1" w:rsidRDefault="00424AF1" w:rsidP="00424AF1"/>
    <w:p w14:paraId="29503B4C" w14:textId="77777777" w:rsidR="00424AF1" w:rsidRDefault="00424AF1" w:rsidP="00893D1A">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893D1A">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lastRenderedPageBreak/>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893D1A">
      <w:pPr>
        <w:pStyle w:val="Heading1"/>
      </w:pPr>
      <w:r>
        <w:t>Overview</w:t>
      </w:r>
    </w:p>
    <w:p w14:paraId="000323E5" w14:textId="67B7E884" w:rsidR="00F3414C" w:rsidRDefault="00F3414C" w:rsidP="00F3414C">
      <w:pPr>
        <w:pStyle w:val="Heading2"/>
      </w:pPr>
      <w:r>
        <w:t>The “Robotexting” problem</w:t>
      </w:r>
    </w:p>
    <w:p w14:paraId="1560090A" w14:textId="16A8D589" w:rsidR="008922C6" w:rsidRDefault="00893D1A" w:rsidP="008922C6">
      <w:r>
        <w:t xml:space="preserve">The term </w:t>
      </w:r>
      <w:r w:rsidR="008922C6">
        <w:t xml:space="preserve">“Robotexting” </w:t>
      </w:r>
      <w:r>
        <w:t>refers to automated sending of fraudulent</w:t>
      </w:r>
      <w:r w:rsidR="00D717F7">
        <w:t>, illegal,</w:t>
      </w:r>
      <w:r>
        <w:t xml:space="preserve"> or otherwise unwanted SMS messages. The FCC reported that robotext-related complaints have soared in the last few years. </w:t>
      </w:r>
      <w:r w:rsidR="002C1180">
        <w:t>In October 2021, the FCC Chairwoman announced the agency would commence a rulemaking.  On September 27, 2022, t</w:t>
      </w:r>
      <w:r>
        <w:t xml:space="preserve">he FCC released a NPRM on this topic </w:t>
      </w:r>
      <w:r w:rsidR="002C1180">
        <w:t>in CG Docket No. 21-402 (FCC 22-72),</w:t>
      </w:r>
      <w:r>
        <w:t xml:space="preserve"> seek</w:t>
      </w:r>
      <w:r w:rsidR="002C1180">
        <w:t>ing</w:t>
      </w:r>
      <w:r>
        <w:t xml:space="preserve"> comments on the potential mandatory blocking of illegal text messages and on the potential application of Caller ID authentication to text messages.</w:t>
      </w:r>
    </w:p>
    <w:p w14:paraId="5273D567" w14:textId="33B300F6" w:rsidR="00893D1A" w:rsidRDefault="00893D1A">
      <w:r>
        <w:t>This report documents the current landscape for SMS delivery and currently available robotext countermeasures.</w:t>
      </w:r>
    </w:p>
    <w:p w14:paraId="7640C7BF" w14:textId="166FA5BE" w:rsidR="00735474" w:rsidRDefault="00735474">
      <w:r w:rsidRPr="00E426B0">
        <w:rPr>
          <w:highlight w:val="yellow"/>
        </w:rPr>
        <w:t>Editor’s note: Separate illegal automated messaging from legitimate automated messaging.</w:t>
      </w:r>
      <w:r w:rsidR="00517814" w:rsidRPr="00E426B0">
        <w:rPr>
          <w:highlight w:val="yellow"/>
        </w:rPr>
        <w:t xml:space="preserve"> Add discussion of non-automated</w:t>
      </w:r>
      <w:r w:rsidR="00EF3F1C" w:rsidRPr="00E426B0">
        <w:rPr>
          <w:highlight w:val="yellow"/>
        </w:rPr>
        <w:t xml:space="preserve"> fraudulent</w:t>
      </w:r>
      <w:r w:rsidR="00517814" w:rsidRPr="00E426B0">
        <w:rPr>
          <w:highlight w:val="yellow"/>
        </w:rPr>
        <w:t xml:space="preserve"> messaging.</w:t>
      </w:r>
      <w:r w:rsidR="00517814">
        <w:t xml:space="preserve"> </w:t>
      </w:r>
      <w:r>
        <w:t xml:space="preserve"> </w:t>
      </w:r>
    </w:p>
    <w:p w14:paraId="6E08F3D2" w14:textId="77777777" w:rsidR="00393FEB" w:rsidRPr="008922C6" w:rsidRDefault="00393FEB" w:rsidP="00E426B0"/>
    <w:p w14:paraId="797FBB93" w14:textId="11890A9A" w:rsidR="005D2536" w:rsidRDefault="005D2536" w:rsidP="005D2536">
      <w:pPr>
        <w:pStyle w:val="Heading2"/>
      </w:pPr>
      <w:r>
        <w:t>Recent Statistics</w:t>
      </w:r>
    </w:p>
    <w:p w14:paraId="51686FF0" w14:textId="44CFF4A4" w:rsidR="00893D1A" w:rsidRDefault="002C1180">
      <w:r>
        <w:t>There is a paucity of network-level statistics on fraudulent, illegal, or otherwise unwanted SMS messages.  To date, some 3</w:t>
      </w:r>
      <w:r w:rsidRPr="002449A4">
        <w:rPr>
          <w:vertAlign w:val="superscript"/>
        </w:rPr>
        <w:t>rd</w:t>
      </w:r>
      <w:r>
        <w:t xml:space="preserve"> party app providers have used incoming texts to the handsets of their subscribers to extrapolate statistics for the US market as a whole.  The extrapolation criteria they use may not be clearly defined between handsets in the market and overall population figures, nor are time intervals clearly specified.  </w:t>
      </w:r>
    </w:p>
    <w:p w14:paraId="78E902BA" w14:textId="535C4138" w:rsidR="007277C6" w:rsidRPr="00893D1A" w:rsidRDefault="007277C6" w:rsidP="00E426B0">
      <w:r>
        <w:t>[</w:t>
      </w:r>
      <w:r w:rsidRPr="00E426B0">
        <w:rPr>
          <w:highlight w:val="yellow"/>
        </w:rPr>
        <w:t>Note: We hope to add more here as information becomes available</w:t>
      </w:r>
      <w:r>
        <w:t>]</w:t>
      </w:r>
    </w:p>
    <w:p w14:paraId="39C9AFF0" w14:textId="481C8856" w:rsidR="001F2162" w:rsidRDefault="00F3414C" w:rsidP="00F3414C">
      <w:pPr>
        <w:pStyle w:val="Heading2"/>
      </w:pPr>
      <w:r>
        <w:t>Objectives</w:t>
      </w:r>
    </w:p>
    <w:p w14:paraId="09A71FD7" w14:textId="04412168" w:rsidR="00893D1A" w:rsidRPr="00893D1A" w:rsidRDefault="00893D1A" w:rsidP="00E426B0">
      <w:r>
        <w:t xml:space="preserve">The objective of this report is to educate </w:t>
      </w:r>
      <w:r w:rsidR="009A2D9B">
        <w:t xml:space="preserve">the </w:t>
      </w:r>
      <w:r>
        <w:t>IP-NNI task force</w:t>
      </w:r>
      <w:r w:rsidR="009A2D9B">
        <w:t>, industry</w:t>
      </w:r>
      <w:r>
        <w:t xml:space="preserve"> participants</w:t>
      </w:r>
      <w:r w:rsidR="009A2D9B">
        <w:t>,</w:t>
      </w:r>
      <w:r>
        <w:t xml:space="preserve"> and policy makers about SMS delivery architectures and currently available </w:t>
      </w:r>
      <w:r w:rsidR="009A2D9B">
        <w:t xml:space="preserve">mitigations to the robotext problem. It does not seek to design new countermeasures or establish new requirements. </w:t>
      </w:r>
    </w:p>
    <w:p w14:paraId="6EA158FA" w14:textId="6A29E897" w:rsidR="001F2162" w:rsidRDefault="00F3414C" w:rsidP="00893D1A">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pPr>
      <w:r>
        <w:t>Application to Person (A2P)</w:t>
      </w:r>
    </w:p>
    <w:p w14:paraId="74AC6A66" w14:textId="46FE9537" w:rsidR="003E6603" w:rsidRPr="003E6603" w:rsidRDefault="003E6603" w:rsidP="00E426B0">
      <w:r>
        <w:t xml:space="preserve">Application to Person (A2P) messaging refers to automated messages sent from a business to a person. A2P messaging commonly involves a messaging application hosted by </w:t>
      </w:r>
      <w:r w:rsidR="007277C6">
        <w:t xml:space="preserve">a </w:t>
      </w:r>
      <w:r>
        <w:t>Messaging Application</w:t>
      </w:r>
      <w:r w:rsidR="007277C6">
        <w:t xml:space="preserve"> provider</w:t>
      </w:r>
      <w:r>
        <w:t xml:space="preserve"> or CPaaS provider, which forwards messages to an aggregator for delivery</w:t>
      </w:r>
      <w:r w:rsidR="007277C6">
        <w:t xml:space="preserve"> to consumers</w:t>
      </w:r>
      <w:r>
        <w:t>.</w:t>
      </w:r>
      <w:r w:rsidR="002E3614">
        <w:t xml:space="preserve"> Typically, A2P messages are application originated and mobile terminated.</w:t>
      </w:r>
    </w:p>
    <w:p w14:paraId="740317F4" w14:textId="19ABCA6A" w:rsidR="00F3414C" w:rsidRDefault="00F3414C" w:rsidP="00F3414C">
      <w:pPr>
        <w:pStyle w:val="Heading3"/>
      </w:pPr>
      <w:r>
        <w:t>Person to Person (P2P)</w:t>
      </w:r>
    </w:p>
    <w:p w14:paraId="6E81004C" w14:textId="01B7F50A" w:rsidR="003E6603" w:rsidRPr="003E6603" w:rsidRDefault="003E6603" w:rsidP="00E426B0">
      <w:r>
        <w:t xml:space="preserve">Person to Person (P2P) messaging refers to messages sent from one </w:t>
      </w:r>
      <w:r w:rsidR="002E3614">
        <w:t>human</w:t>
      </w:r>
      <w:r>
        <w:t xml:space="preserve"> to another. Typically, P2P messages are Mobile Originated and Mobile Terminated.</w:t>
      </w:r>
    </w:p>
    <w:p w14:paraId="38ADB8FD" w14:textId="322B60FA" w:rsidR="00F3414C" w:rsidRDefault="00F3414C" w:rsidP="00F3414C">
      <w:pPr>
        <w:pStyle w:val="Heading3"/>
      </w:pPr>
      <w:r>
        <w:t>Mobile Termination</w:t>
      </w:r>
    </w:p>
    <w:p w14:paraId="45342AAA" w14:textId="2C974874" w:rsidR="003E6603" w:rsidRPr="003E6603" w:rsidRDefault="003E6603" w:rsidP="00E426B0">
      <w:r>
        <w:t>Mobile Termination refers to the delivery of a message</w:t>
      </w:r>
      <w:r w:rsidR="002E3614">
        <w:t xml:space="preserve"> from a</w:t>
      </w:r>
      <w:r w:rsidR="007277C6">
        <w:t xml:space="preserve"> Short Message Service Center (</w:t>
      </w:r>
      <w:r w:rsidR="002E3614">
        <w:t>SMSC</w:t>
      </w:r>
      <w:r w:rsidR="007277C6">
        <w:t>)</w:t>
      </w:r>
      <w:r>
        <w:t xml:space="preserve"> to a mobile device, typically via the TSPs mobile network. </w:t>
      </w:r>
    </w:p>
    <w:p w14:paraId="62B53989" w14:textId="27D71FE4" w:rsidR="00F3414C" w:rsidRDefault="00F3414C" w:rsidP="00F3414C">
      <w:pPr>
        <w:pStyle w:val="Heading3"/>
      </w:pPr>
      <w:r>
        <w:lastRenderedPageBreak/>
        <w:t>Mobile Origination</w:t>
      </w:r>
    </w:p>
    <w:p w14:paraId="02EF3E28" w14:textId="13D4BBEC" w:rsidR="003E6603" w:rsidRDefault="003E6603">
      <w:r>
        <w:t>Mobile Origination refers to message submission from a mobile device</w:t>
      </w:r>
      <w:r w:rsidR="002E3614">
        <w:t xml:space="preserve"> to an SMSC</w:t>
      </w:r>
      <w:r>
        <w:t>, typically via the OSPs mobile network.</w:t>
      </w:r>
    </w:p>
    <w:p w14:paraId="41363451" w14:textId="0C9D9E5D" w:rsidR="00C4363E" w:rsidRDefault="00C4363E">
      <w:r w:rsidRPr="00E426B0">
        <w:rPr>
          <w:highlight w:val="yellow"/>
        </w:rPr>
        <w:t>Editor’s note: Mobile origination</w:t>
      </w:r>
      <w:r w:rsidR="002F54AF" w:rsidRPr="00E426B0">
        <w:rPr>
          <w:highlight w:val="yellow"/>
        </w:rPr>
        <w:t>,</w:t>
      </w:r>
      <w:r w:rsidRPr="00E426B0">
        <w:rPr>
          <w:highlight w:val="yellow"/>
        </w:rPr>
        <w:t xml:space="preserve"> mobile termination</w:t>
      </w:r>
      <w:r w:rsidR="002F54AF" w:rsidRPr="00E426B0">
        <w:rPr>
          <w:highlight w:val="yellow"/>
        </w:rPr>
        <w:t xml:space="preserve">, and application </w:t>
      </w:r>
      <w:r w:rsidR="005E1CBB" w:rsidRPr="00E426B0">
        <w:rPr>
          <w:highlight w:val="yellow"/>
        </w:rPr>
        <w:t>origination</w:t>
      </w:r>
      <w:r w:rsidRPr="00E426B0">
        <w:rPr>
          <w:highlight w:val="yellow"/>
        </w:rPr>
        <w:t xml:space="preserve"> are concepts to be considered for potential removal </w:t>
      </w:r>
      <w:r w:rsidR="005E1CBB" w:rsidRPr="00E426B0">
        <w:rPr>
          <w:highlight w:val="yellow"/>
        </w:rPr>
        <w:t>at a later point</w:t>
      </w:r>
      <w:r w:rsidRPr="00E426B0">
        <w:rPr>
          <w:highlight w:val="yellow"/>
        </w:rPr>
        <w:t>.</w:t>
      </w:r>
    </w:p>
    <w:p w14:paraId="75335386" w14:textId="77777777" w:rsidR="00C4363E" w:rsidRPr="003E6603" w:rsidRDefault="00C4363E" w:rsidP="00E426B0"/>
    <w:p w14:paraId="6251D60C" w14:textId="6BE36F8D" w:rsidR="00F3414C" w:rsidRDefault="00F3414C" w:rsidP="00F3414C">
      <w:pPr>
        <w:pStyle w:val="Heading3"/>
      </w:pPr>
      <w:r>
        <w:t>Application Origination</w:t>
      </w:r>
    </w:p>
    <w:p w14:paraId="0F3B55B5" w14:textId="4C2F7A17" w:rsidR="002E3614" w:rsidRPr="002E3614" w:rsidRDefault="002E3614" w:rsidP="00E426B0">
      <w:r>
        <w:t xml:space="preserve">Application Origination refers to the submission of messages by an application other than </w:t>
      </w:r>
      <w:r w:rsidR="007277C6">
        <w:t xml:space="preserve">the native messaging application on </w:t>
      </w:r>
      <w:r>
        <w:t>an end-user device.</w:t>
      </w:r>
    </w:p>
    <w:p w14:paraId="013A4FD0" w14:textId="5ECBDE48" w:rsidR="00F3414C" w:rsidRDefault="00F3414C" w:rsidP="00F3414C">
      <w:pPr>
        <w:pStyle w:val="Heading4"/>
      </w:pPr>
      <w:r>
        <w:t>CPaa</w:t>
      </w:r>
      <w:r w:rsidR="008922C6">
        <w:t>S</w:t>
      </w:r>
      <w:r>
        <w:t xml:space="preserve"> Applications</w:t>
      </w:r>
    </w:p>
    <w:p w14:paraId="64DA8DDE" w14:textId="7BBA9A8D" w:rsidR="002E3614" w:rsidRDefault="002E3614">
      <w:r>
        <w:t>Enterprise senders commonly use CPaaS applications to send large numbers of A2P messages.</w:t>
      </w:r>
    </w:p>
    <w:p w14:paraId="71EE2E63" w14:textId="1919DF47" w:rsidR="00867D5E" w:rsidRDefault="00867D5E">
      <w:r w:rsidRPr="00E426B0">
        <w:rPr>
          <w:highlight w:val="yellow"/>
        </w:rPr>
        <w:t>Editor’s note: Generalize this concept to messaging service provider.</w:t>
      </w:r>
    </w:p>
    <w:p w14:paraId="50414B79" w14:textId="77777777" w:rsidR="00867D5E" w:rsidRPr="002E3614" w:rsidRDefault="00867D5E" w:rsidP="00E426B0"/>
    <w:p w14:paraId="539C654E" w14:textId="6E32D53F" w:rsidR="00F3414C" w:rsidRDefault="00F3414C" w:rsidP="00F3414C">
      <w:pPr>
        <w:pStyle w:val="Heading4"/>
      </w:pPr>
      <w:r>
        <w:t>Email-to-SMS Gateways</w:t>
      </w:r>
    </w:p>
    <w:p w14:paraId="2F2BBB76" w14:textId="117ACA48" w:rsidR="002E3614" w:rsidRPr="002E3614" w:rsidRDefault="002E3614" w:rsidP="00E426B0">
      <w:r>
        <w:t xml:space="preserve">Most </w:t>
      </w:r>
      <w:r w:rsidR="007277C6">
        <w:t>wireless</w:t>
      </w:r>
      <w:r>
        <w:t xml:space="preserve"> SPs offer Email-to SMS gateway services, where a sender can send an email to a gateway that </w:t>
      </w:r>
      <w:r w:rsidR="007277C6">
        <w:t xml:space="preserve">converts and </w:t>
      </w:r>
      <w:r>
        <w:t xml:space="preserve">forwards it as an SMS towards a mobile recipient. Email-to-SMS is </w:t>
      </w:r>
      <w:r w:rsidR="007277C6">
        <w:t>in common</w:t>
      </w:r>
      <w:r>
        <w:t xml:space="preserve"> use by legacy applications. Many public service and community organizations use Email-to-SMS gateways to send </w:t>
      </w:r>
      <w:r w:rsidR="007277C6">
        <w:t>messages</w:t>
      </w:r>
      <w:r w:rsidR="00D90CC9">
        <w:t xml:space="preserve"> to community members.</w:t>
      </w:r>
    </w:p>
    <w:p w14:paraId="765F30E1" w14:textId="5A47D2A8" w:rsidR="009F71CC" w:rsidRDefault="009F71CC" w:rsidP="009F71CC">
      <w:pPr>
        <w:pStyle w:val="Heading3"/>
      </w:pPr>
      <w:r>
        <w:t>Short Codes</w:t>
      </w:r>
    </w:p>
    <w:p w14:paraId="10696E18" w14:textId="6D7CA87E" w:rsidR="00D90CC9" w:rsidRPr="00D90CC9" w:rsidRDefault="00D90CC9" w:rsidP="00E426B0">
      <w:r>
        <w:t xml:space="preserve">Historically, most A2P </w:t>
      </w:r>
      <w:r w:rsidR="00D63377">
        <w:t>messaging</w:t>
      </w:r>
      <w:r>
        <w:t xml:space="preserve"> ha</w:t>
      </w:r>
      <w:r w:rsidR="00417507">
        <w:t>s</w:t>
      </w:r>
      <w:r>
        <w:t xml:space="preserve"> </w:t>
      </w:r>
      <w:r w:rsidR="00D63377">
        <w:t>used registered short codes in Sender ID fields. Short codes in the US are coordinated by the CTIA short code registry. Short code registrants must be vetted and must agree to follow published best practices.</w:t>
      </w:r>
    </w:p>
    <w:p w14:paraId="425CA24C" w14:textId="08504DA2" w:rsidR="009F71CC" w:rsidRDefault="009F71CC" w:rsidP="009F71CC">
      <w:pPr>
        <w:pStyle w:val="Heading3"/>
      </w:pPr>
      <w:r>
        <w:t>10 Digit Long Codes (10DLC)</w:t>
      </w:r>
    </w:p>
    <w:p w14:paraId="0BBEEA31" w14:textId="2219E8A9" w:rsidR="00D63377" w:rsidRDefault="00D63377">
      <w:r>
        <w:t>More recently, SPs have started to allow A2P messages to be sent with 10-digit “long codes” (effectively, TNs) in the Sender-ID fields. Unlike short codes, 10DLCs do not have a centralized entity to enforce best practices.</w:t>
      </w:r>
    </w:p>
    <w:p w14:paraId="303582CF" w14:textId="5293DD96" w:rsidR="00FE6330" w:rsidRDefault="00FE6330">
      <w:r w:rsidRPr="00E426B0">
        <w:rPr>
          <w:highlight w:val="yellow"/>
        </w:rPr>
        <w:t>Editor’s note: Add call out to toll-free.</w:t>
      </w:r>
      <w:r>
        <w:t xml:space="preserve"> </w:t>
      </w:r>
    </w:p>
    <w:p w14:paraId="511C6672" w14:textId="77777777" w:rsidR="00FE6330" w:rsidRPr="00D63377" w:rsidRDefault="00FE6330" w:rsidP="00E426B0"/>
    <w:p w14:paraId="48C110F0" w14:textId="57F34F60" w:rsidR="00996CED" w:rsidRDefault="00F3414C" w:rsidP="00996CED">
      <w:pPr>
        <w:pStyle w:val="Heading2"/>
      </w:pPr>
      <w:r>
        <w:t>Application to Person (A2P) Example Architecture</w:t>
      </w:r>
    </w:p>
    <w:p w14:paraId="2C38F316" w14:textId="77777777" w:rsidR="00BA0BF8" w:rsidRPr="00BA0BF8" w:rsidRDefault="00BA0BF8" w:rsidP="00BA0BF8"/>
    <w:p w14:paraId="3B145EA9" w14:textId="473FB034" w:rsidR="00996CED" w:rsidRDefault="008366CA" w:rsidP="00E426B0">
      <w:pPr>
        <w:keepNext/>
      </w:pPr>
      <w:r w:rsidRPr="008366CA">
        <w:rPr>
          <w:noProof/>
        </w:rPr>
        <w:drawing>
          <wp:inline distT="0" distB="0" distL="0" distR="0" wp14:anchorId="71579939" wp14:editId="4A8B0293">
            <wp:extent cx="6400800"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387475"/>
                    </a:xfrm>
                    <a:prstGeom prst="rect">
                      <a:avLst/>
                    </a:prstGeom>
                  </pic:spPr>
                </pic:pic>
              </a:graphicData>
            </a:graphic>
          </wp:inline>
        </w:drawing>
      </w:r>
    </w:p>
    <w:p w14:paraId="1773DFEF" w14:textId="695F8A8D" w:rsidR="00996CED" w:rsidRDefault="00996CED">
      <w:pPr>
        <w:pStyle w:val="Caption"/>
        <w:jc w:val="both"/>
      </w:pPr>
      <w:bookmarkStart w:id="31" w:name="_Ref126330042"/>
      <w:r>
        <w:t xml:space="preserve">Figure </w:t>
      </w:r>
      <w:fldSimple w:instr=" SEQ Figure \* ARABIC ">
        <w:r w:rsidR="004D17BC">
          <w:rPr>
            <w:noProof/>
          </w:rPr>
          <w:t>1</w:t>
        </w:r>
      </w:fldSimple>
      <w:bookmarkEnd w:id="31"/>
      <w:r>
        <w:t xml:space="preserve"> A2P Example Architecture</w:t>
      </w:r>
    </w:p>
    <w:p w14:paraId="11532A8D" w14:textId="61A4DFB2" w:rsidR="004D17BC" w:rsidRDefault="008366CA">
      <w:r>
        <w:fldChar w:fldCharType="begin"/>
      </w:r>
      <w:r>
        <w:instrText xml:space="preserve"> REF _Ref126330042 \h </w:instrText>
      </w:r>
      <w:r>
        <w:fldChar w:fldCharType="separate"/>
      </w:r>
      <w:r>
        <w:t xml:space="preserve">Figure </w:t>
      </w:r>
      <w:r>
        <w:rPr>
          <w:noProof/>
        </w:rPr>
        <w:t>1</w:t>
      </w:r>
      <w:r>
        <w:fldChar w:fldCharType="end"/>
      </w:r>
      <w:r>
        <w:t xml:space="preserve"> shows an example delivery architecture for A2P messages. In this example, messages are Application Originated and Mobile Terminated.</w:t>
      </w:r>
    </w:p>
    <w:p w14:paraId="6A0AFD4D" w14:textId="6ED4531D" w:rsidR="007277C6" w:rsidRDefault="008366CA">
      <w:r>
        <w:t xml:space="preserve">An enterprise sender </w:t>
      </w:r>
      <w:r w:rsidR="007277C6">
        <w:t>uses</w:t>
      </w:r>
      <w:r>
        <w:t xml:space="preserve"> an automated messaging application </w:t>
      </w:r>
      <w:r w:rsidR="007277C6">
        <w:t xml:space="preserve">hosted at </w:t>
      </w:r>
      <w:r>
        <w:t>an A2P Messaging Application or CPaaS provider. The application sends messages through an aggregator to an SMSC at the TSP. When the mo</w:t>
      </w:r>
      <w:r w:rsidR="007277C6">
        <w:t>b</w:t>
      </w:r>
      <w:r>
        <w:t>ile recipient is available, the SMSC forwards the message to the mobile recipient</w:t>
      </w:r>
      <w:r w:rsidR="007277C6">
        <w:t>’s end-user device.</w:t>
      </w:r>
    </w:p>
    <w:p w14:paraId="2667C4A2" w14:textId="77777777" w:rsidR="007277C6" w:rsidRDefault="007277C6" w:rsidP="00E426B0">
      <w:pPr>
        <w:pStyle w:val="Heading2"/>
      </w:pPr>
      <w:r>
        <w:lastRenderedPageBreak/>
        <w:t>Person to Person (P2P) Example Architecture</w:t>
      </w:r>
    </w:p>
    <w:p w14:paraId="628579AB" w14:textId="77777777" w:rsidR="007277C6" w:rsidRDefault="007277C6"/>
    <w:p w14:paraId="684DA3B4" w14:textId="553716AF" w:rsidR="004D17BC" w:rsidRDefault="004D17BC" w:rsidP="00E426B0">
      <w:pPr>
        <w:keepNext/>
      </w:pPr>
      <w:r w:rsidRPr="004D17BC">
        <w:rPr>
          <w:noProof/>
        </w:rPr>
        <w:drawing>
          <wp:inline distT="0" distB="0" distL="0" distR="0" wp14:anchorId="7CD3284C" wp14:editId="1DDE0865">
            <wp:extent cx="6400800" cy="149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499235"/>
                    </a:xfrm>
                    <a:prstGeom prst="rect">
                      <a:avLst/>
                    </a:prstGeom>
                  </pic:spPr>
                </pic:pic>
              </a:graphicData>
            </a:graphic>
          </wp:inline>
        </w:drawing>
      </w:r>
    </w:p>
    <w:p w14:paraId="3C577512" w14:textId="124E5756" w:rsidR="004D17BC" w:rsidRDefault="004D17BC" w:rsidP="004D17BC">
      <w:pPr>
        <w:pStyle w:val="Caption"/>
        <w:jc w:val="both"/>
      </w:pPr>
      <w:bookmarkStart w:id="32" w:name="_Ref126330394"/>
      <w:r>
        <w:t xml:space="preserve">Figure </w:t>
      </w:r>
      <w:fldSimple w:instr=" SEQ Figure \* ARABIC ">
        <w:r>
          <w:rPr>
            <w:noProof/>
          </w:rPr>
          <w:t>2</w:t>
        </w:r>
      </w:fldSimple>
      <w:bookmarkEnd w:id="32"/>
      <w:r>
        <w:t xml:space="preserve"> P2P Example Architecture</w:t>
      </w:r>
    </w:p>
    <w:p w14:paraId="62793709" w14:textId="51624B1B" w:rsidR="004D17BC" w:rsidRDefault="005B259E">
      <w:r>
        <w:fldChar w:fldCharType="begin"/>
      </w:r>
      <w:r>
        <w:instrText xml:space="preserve"> REF _Ref126330394 \h </w:instrText>
      </w:r>
      <w:r>
        <w:fldChar w:fldCharType="separate"/>
      </w:r>
      <w:r>
        <w:t xml:space="preserve">Figure </w:t>
      </w:r>
      <w:r>
        <w:rPr>
          <w:noProof/>
        </w:rPr>
        <w:t>2</w:t>
      </w:r>
      <w:r>
        <w:fldChar w:fldCharType="end"/>
      </w:r>
      <w:r>
        <w:t xml:space="preserve"> shows an example delivery architecture for P2P messages. In the example, messages are mobile originated and mobile terminated.</w:t>
      </w:r>
    </w:p>
    <w:p w14:paraId="73184BA3" w14:textId="1A9F609A" w:rsidR="005B259E" w:rsidRDefault="005B259E" w:rsidP="005B259E">
      <w:r>
        <w:t xml:space="preserve">A mobile user sends an SMS to another mobile user. The message is submitted to </w:t>
      </w:r>
      <w:r w:rsidR="007277C6">
        <w:t>the</w:t>
      </w:r>
      <w:r>
        <w:t xml:space="preserve"> SMSC </w:t>
      </w:r>
      <w:r w:rsidR="007277C6">
        <w:t>at</w:t>
      </w:r>
      <w:r>
        <w:t xml:space="preserve"> the OSP. When the recipient is available, the SMSC sends the message towards the recipient, potentially via an SMS Hub, which forwards the message to the mo</w:t>
      </w:r>
      <w:r w:rsidR="007277C6">
        <w:t>b</w:t>
      </w:r>
      <w:r>
        <w:t>ile recipient via an SMSF, MME, or IP-SM-GW depending on the network type.</w:t>
      </w:r>
    </w:p>
    <w:p w14:paraId="38640996" w14:textId="77777777" w:rsidR="007277C6" w:rsidRPr="004D17BC" w:rsidRDefault="007277C6" w:rsidP="007277C6">
      <w:r>
        <w:t>[</w:t>
      </w:r>
      <w:r w:rsidRPr="002449A4">
        <w:rPr>
          <w:highlight w:val="yellow"/>
        </w:rPr>
        <w:t>Open Question: Is the SMSC at the OSP or TSP for Mobile Origination</w:t>
      </w:r>
      <w:r>
        <w:t>?]</w:t>
      </w:r>
    </w:p>
    <w:p w14:paraId="4DF63431" w14:textId="77777777" w:rsidR="007277C6" w:rsidRPr="004D17BC" w:rsidRDefault="007277C6" w:rsidP="005B259E"/>
    <w:p w14:paraId="42E82ACB" w14:textId="061A90C6" w:rsidR="005B259E" w:rsidRPr="004D17BC" w:rsidRDefault="005B259E" w:rsidP="00E426B0"/>
    <w:p w14:paraId="08E08038" w14:textId="46410843" w:rsidR="009F71CC" w:rsidRDefault="009F71CC" w:rsidP="00893D1A">
      <w:pPr>
        <w:pStyle w:val="Heading1"/>
      </w:pPr>
      <w:r>
        <w:lastRenderedPageBreak/>
        <w:t>Robotext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6F45079F" w14:textId="77777777" w:rsidR="00B928D8" w:rsidRDefault="00F3414C" w:rsidP="00B928D8">
      <w:pPr>
        <w:pStyle w:val="Heading3"/>
      </w:pPr>
      <w:r>
        <w:t>Spoofed Sender Numbers</w:t>
      </w:r>
      <w:r w:rsidR="00B928D8">
        <w:t xml:space="preserve"> (compare/contrast voice call spoofing with robotext spoofing)</w:t>
      </w:r>
    </w:p>
    <w:p w14:paraId="76D8420E" w14:textId="72B09B30" w:rsidR="00F3414C" w:rsidRDefault="00F3414C" w:rsidP="009F71CC">
      <w:pPr>
        <w:pStyle w:val="Heading3"/>
      </w:pPr>
      <w:r>
        <w:t>Non-Spoofed impersonation</w:t>
      </w:r>
    </w:p>
    <w:p w14:paraId="7C3E6297" w14:textId="6A7379EC" w:rsidR="00F3414C" w:rsidRDefault="00F3414C" w:rsidP="009F71CC">
      <w:pPr>
        <w:pStyle w:val="Heading3"/>
      </w:pPr>
      <w:r>
        <w:t>Link attacks</w:t>
      </w:r>
    </w:p>
    <w:p w14:paraId="6B19497E" w14:textId="0A239F80" w:rsidR="009F71CC" w:rsidRDefault="009F71CC" w:rsidP="009F71CC">
      <w:pPr>
        <w:pStyle w:val="Heading4"/>
      </w:pPr>
      <w:r>
        <w:t>Malware</w:t>
      </w:r>
    </w:p>
    <w:p w14:paraId="13AA9E76" w14:textId="47251B66" w:rsidR="009F71CC" w:rsidRDefault="009F71CC" w:rsidP="009F71CC">
      <w:pPr>
        <w:pStyle w:val="Heading4"/>
      </w:pPr>
      <w:r>
        <w:t>Unsolicited Advertising</w:t>
      </w:r>
    </w:p>
    <w:p w14:paraId="7FDB4BAD" w14:textId="4AD93E11" w:rsidR="00F3414C" w:rsidRDefault="00F3414C" w:rsidP="009F71CC">
      <w:pPr>
        <w:pStyle w:val="Heading3"/>
      </w:pPr>
      <w:r>
        <w:t>Phishing Attacks</w:t>
      </w:r>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4C9356B6" w:rsidR="009F71CC" w:rsidRDefault="009F71CC" w:rsidP="009F71CC">
      <w:pPr>
        <w:pStyle w:val="Heading3"/>
      </w:pPr>
      <w:r>
        <w:t>Disposable</w:t>
      </w:r>
      <w:r w:rsidR="00B928D8">
        <w:t xml:space="preserve"> (a/k/a “burner”)</w:t>
      </w:r>
      <w:r>
        <w:t xml:space="preserve"> TNs</w:t>
      </w:r>
    </w:p>
    <w:p w14:paraId="3BB4BED3" w14:textId="270529CC" w:rsidR="009F71CC" w:rsidRDefault="009F71CC" w:rsidP="009F71CC">
      <w:pPr>
        <w:pStyle w:val="Heading4"/>
      </w:pPr>
      <w:r>
        <w:t>Snowshoeing</w:t>
      </w:r>
    </w:p>
    <w:p w14:paraId="127E3E68" w14:textId="53C5A35B" w:rsidR="009F71CC" w:rsidRDefault="009F71CC" w:rsidP="009F71CC">
      <w:pPr>
        <w:pStyle w:val="Heading3"/>
      </w:pPr>
      <w:r>
        <w:t>Email Gateways</w:t>
      </w:r>
    </w:p>
    <w:p w14:paraId="0C213860" w14:textId="5ACAE155" w:rsidR="009F71CC" w:rsidRDefault="009F71CC" w:rsidP="009F71CC">
      <w:pPr>
        <w:pStyle w:val="Heading3"/>
      </w:pPr>
      <w:r>
        <w:t>Insufficient Application Security</w:t>
      </w:r>
    </w:p>
    <w:p w14:paraId="69847925" w14:textId="4B72BA4A" w:rsidR="009F71CC" w:rsidRDefault="009F71CC" w:rsidP="009F71CC">
      <w:pPr>
        <w:pStyle w:val="Heading3"/>
      </w:pPr>
      <w:r>
        <w:t>Compromised Credentials</w:t>
      </w:r>
    </w:p>
    <w:p w14:paraId="0B617B4C" w14:textId="1D608B49" w:rsidR="009F71CC" w:rsidRDefault="009F71CC" w:rsidP="00893D1A">
      <w:pPr>
        <w:pStyle w:val="Heading1"/>
      </w:pPr>
      <w:r>
        <w:t>Countermeasures</w:t>
      </w:r>
    </w:p>
    <w:p w14:paraId="1BCC2625" w14:textId="1BFA2C15" w:rsidR="009F71CC" w:rsidRDefault="009F71CC" w:rsidP="009F71CC">
      <w:pPr>
        <w:pStyle w:val="Heading2"/>
      </w:pPr>
      <w:r>
        <w:t>Monitoring and Blocking</w:t>
      </w:r>
    </w:p>
    <w:p w14:paraId="6779E330" w14:textId="3C633291" w:rsidR="009F71CC" w:rsidRDefault="009F71CC" w:rsidP="009F71CC">
      <w:pPr>
        <w:pStyle w:val="Heading2"/>
      </w:pPr>
      <w:r>
        <w:t>Anti-Spoofing countermeasures</w:t>
      </w:r>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893D1A">
      <w:pPr>
        <w:pStyle w:val="Heading1"/>
      </w:pPr>
      <w:r>
        <w:t>Gap Analysis</w:t>
      </w:r>
    </w:p>
    <w:p w14:paraId="5C80AFF2" w14:textId="091A1A7A" w:rsidR="009F71CC" w:rsidRPr="004B443F" w:rsidRDefault="009F71CC" w:rsidP="00893D1A">
      <w:pPr>
        <w:pStyle w:val="Heading1"/>
      </w:pPr>
      <w:r>
        <w:t>Conclusions</w:t>
      </w:r>
    </w:p>
    <w:sectPr w:rsidR="009F71CC"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0684" w14:textId="77777777" w:rsidR="00B37553" w:rsidRDefault="00B37553">
      <w:r>
        <w:separator/>
      </w:r>
    </w:p>
  </w:endnote>
  <w:endnote w:type="continuationSeparator" w:id="0">
    <w:p w14:paraId="069E6D43" w14:textId="77777777" w:rsidR="00B37553" w:rsidRDefault="00B3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F018" w14:textId="77777777" w:rsidR="00B37553" w:rsidRDefault="00B37553">
      <w:r>
        <w:separator/>
      </w:r>
    </w:p>
  </w:footnote>
  <w:footnote w:type="continuationSeparator" w:id="0">
    <w:p w14:paraId="6DAD2A2C" w14:textId="77777777" w:rsidR="00B37553" w:rsidRDefault="00B3755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9747A"/>
    <w:multiLevelType w:val="multilevel"/>
    <w:tmpl w:val="AC001A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3934360">
    <w:abstractNumId w:val="16"/>
  </w:num>
  <w:num w:numId="2" w16cid:durableId="1672484833">
    <w:abstractNumId w:val="23"/>
  </w:num>
  <w:num w:numId="3" w16cid:durableId="167913592">
    <w:abstractNumId w:val="7"/>
  </w:num>
  <w:num w:numId="4" w16cid:durableId="394747475">
    <w:abstractNumId w:val="8"/>
  </w:num>
  <w:num w:numId="5" w16cid:durableId="621226581">
    <w:abstractNumId w:val="6"/>
  </w:num>
  <w:num w:numId="6" w16cid:durableId="1886672657">
    <w:abstractNumId w:val="5"/>
  </w:num>
  <w:num w:numId="7" w16cid:durableId="828715625">
    <w:abstractNumId w:val="4"/>
  </w:num>
  <w:num w:numId="8" w16cid:durableId="96601530">
    <w:abstractNumId w:val="3"/>
  </w:num>
  <w:num w:numId="9" w16cid:durableId="1978562283">
    <w:abstractNumId w:val="22"/>
  </w:num>
  <w:num w:numId="10" w16cid:durableId="1980455191">
    <w:abstractNumId w:val="2"/>
  </w:num>
  <w:num w:numId="11" w16cid:durableId="1632244163">
    <w:abstractNumId w:val="1"/>
  </w:num>
  <w:num w:numId="12" w16cid:durableId="1641499258">
    <w:abstractNumId w:val="0"/>
  </w:num>
  <w:num w:numId="13" w16cid:durableId="2042515456">
    <w:abstractNumId w:val="11"/>
  </w:num>
  <w:num w:numId="14" w16cid:durableId="1311522236">
    <w:abstractNumId w:val="18"/>
  </w:num>
  <w:num w:numId="15" w16cid:durableId="614795304">
    <w:abstractNumId w:val="21"/>
  </w:num>
  <w:num w:numId="16" w16cid:durableId="2016877641">
    <w:abstractNumId w:val="15"/>
  </w:num>
  <w:num w:numId="17" w16cid:durableId="249899402">
    <w:abstractNumId w:val="19"/>
  </w:num>
  <w:num w:numId="18" w16cid:durableId="1156996006">
    <w:abstractNumId w:val="9"/>
  </w:num>
  <w:num w:numId="19" w16cid:durableId="873005956">
    <w:abstractNumId w:val="17"/>
  </w:num>
  <w:num w:numId="20" w16cid:durableId="1114516799">
    <w:abstractNumId w:val="10"/>
  </w:num>
  <w:num w:numId="21" w16cid:durableId="1988627967">
    <w:abstractNumId w:val="13"/>
  </w:num>
  <w:num w:numId="22" w16cid:durableId="1263102093">
    <w:abstractNumId w:val="14"/>
  </w:num>
  <w:num w:numId="23" w16cid:durableId="52000009">
    <w:abstractNumId w:val="12"/>
  </w:num>
  <w:num w:numId="24" w16cid:durableId="137634811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D3768"/>
    <w:rsid w:val="000D62FC"/>
    <w:rsid w:val="00144531"/>
    <w:rsid w:val="0018254B"/>
    <w:rsid w:val="001A4371"/>
    <w:rsid w:val="001A5B24"/>
    <w:rsid w:val="001E0B44"/>
    <w:rsid w:val="001F2162"/>
    <w:rsid w:val="002142D1"/>
    <w:rsid w:val="00214E32"/>
    <w:rsid w:val="0021710E"/>
    <w:rsid w:val="002A7CA2"/>
    <w:rsid w:val="002B7015"/>
    <w:rsid w:val="002C1180"/>
    <w:rsid w:val="002C4900"/>
    <w:rsid w:val="002E3614"/>
    <w:rsid w:val="002F54AF"/>
    <w:rsid w:val="00322FDB"/>
    <w:rsid w:val="00363B8E"/>
    <w:rsid w:val="00393FEB"/>
    <w:rsid w:val="003D2C1F"/>
    <w:rsid w:val="003E6603"/>
    <w:rsid w:val="00417507"/>
    <w:rsid w:val="00424AF1"/>
    <w:rsid w:val="00425FD6"/>
    <w:rsid w:val="004677A8"/>
    <w:rsid w:val="00475372"/>
    <w:rsid w:val="004B443F"/>
    <w:rsid w:val="004D17BC"/>
    <w:rsid w:val="004F5EDE"/>
    <w:rsid w:val="00517814"/>
    <w:rsid w:val="00523A9A"/>
    <w:rsid w:val="005478AD"/>
    <w:rsid w:val="00572688"/>
    <w:rsid w:val="00590C1B"/>
    <w:rsid w:val="005B259E"/>
    <w:rsid w:val="005D0532"/>
    <w:rsid w:val="005D2536"/>
    <w:rsid w:val="005E0DD8"/>
    <w:rsid w:val="005E1CBB"/>
    <w:rsid w:val="00686C71"/>
    <w:rsid w:val="006F12CE"/>
    <w:rsid w:val="007001A9"/>
    <w:rsid w:val="007277C6"/>
    <w:rsid w:val="00735474"/>
    <w:rsid w:val="007D5EEC"/>
    <w:rsid w:val="007D7BDB"/>
    <w:rsid w:val="007E23D3"/>
    <w:rsid w:val="007E4439"/>
    <w:rsid w:val="00804F87"/>
    <w:rsid w:val="00817727"/>
    <w:rsid w:val="008366CA"/>
    <w:rsid w:val="00867D5E"/>
    <w:rsid w:val="00874984"/>
    <w:rsid w:val="008922C6"/>
    <w:rsid w:val="00893D1A"/>
    <w:rsid w:val="008A3F3B"/>
    <w:rsid w:val="008B2FE0"/>
    <w:rsid w:val="00930CEE"/>
    <w:rsid w:val="00975127"/>
    <w:rsid w:val="00987D79"/>
    <w:rsid w:val="00992B89"/>
    <w:rsid w:val="00996CED"/>
    <w:rsid w:val="009A2D9B"/>
    <w:rsid w:val="009A6250"/>
    <w:rsid w:val="009A6EC3"/>
    <w:rsid w:val="009B1379"/>
    <w:rsid w:val="009D785E"/>
    <w:rsid w:val="009E0005"/>
    <w:rsid w:val="009E35D2"/>
    <w:rsid w:val="009F71CC"/>
    <w:rsid w:val="00A643EB"/>
    <w:rsid w:val="00B37553"/>
    <w:rsid w:val="00B928D8"/>
    <w:rsid w:val="00BA0BF8"/>
    <w:rsid w:val="00BC47C9"/>
    <w:rsid w:val="00BE265D"/>
    <w:rsid w:val="00BE4012"/>
    <w:rsid w:val="00BF135B"/>
    <w:rsid w:val="00C4025E"/>
    <w:rsid w:val="00C4363E"/>
    <w:rsid w:val="00C44F39"/>
    <w:rsid w:val="00C961AD"/>
    <w:rsid w:val="00CB3FFF"/>
    <w:rsid w:val="00CE3311"/>
    <w:rsid w:val="00D034AA"/>
    <w:rsid w:val="00D06987"/>
    <w:rsid w:val="00D50927"/>
    <w:rsid w:val="00D55782"/>
    <w:rsid w:val="00D63377"/>
    <w:rsid w:val="00D64690"/>
    <w:rsid w:val="00D717F7"/>
    <w:rsid w:val="00D82162"/>
    <w:rsid w:val="00D8772E"/>
    <w:rsid w:val="00D90CC9"/>
    <w:rsid w:val="00D9768C"/>
    <w:rsid w:val="00DF79ED"/>
    <w:rsid w:val="00E426B0"/>
    <w:rsid w:val="00EB273B"/>
    <w:rsid w:val="00EF3F1C"/>
    <w:rsid w:val="00F06BE3"/>
    <w:rsid w:val="00F17692"/>
    <w:rsid w:val="00F3414C"/>
    <w:rsid w:val="00F9209F"/>
    <w:rsid w:val="00FA3521"/>
    <w:rsid w:val="00FC4B0D"/>
    <w:rsid w:val="00FE6330"/>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93D1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3</cp:revision>
  <dcterms:created xsi:type="dcterms:W3CDTF">2023-02-22T20:22:00Z</dcterms:created>
  <dcterms:modified xsi:type="dcterms:W3CDTF">2023-02-22T20:22:00Z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