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2176FA">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2176FA">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2176FA">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1C3802D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(ATIS-1000092</w:t>
      </w:r>
      <w:r w:rsidR="00175300">
        <w:rPr>
          <w:rFonts w:ascii="Arial" w:hAnsi="Arial" w:cs="Arial"/>
          <w:sz w:val="20"/>
          <w:szCs w:val="20"/>
        </w:rPr>
        <w:t xml:space="preserve"> [Ref 3]</w:t>
      </w:r>
      <w:r w:rsidR="006C6443">
        <w:rPr>
          <w:rFonts w:ascii="Arial" w:hAnsi="Arial" w:cs="Arial"/>
          <w:sz w:val="20"/>
          <w:szCs w:val="20"/>
        </w:rPr>
        <w:t xml:space="preserve">)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w:t>
      </w:r>
      <w:r w:rsidR="00270F54">
        <w:rPr>
          <w:rFonts w:ascii="Arial" w:hAnsi="Arial" w:cs="Arial"/>
          <w:sz w:val="20"/>
          <w:szCs w:val="20"/>
        </w:rPr>
        <w:t>STI Participant</w:t>
      </w:r>
      <w:r w:rsidRPr="002A5C6E">
        <w:rPr>
          <w:rFonts w:ascii="Arial" w:hAnsi="Arial" w:cs="Arial"/>
          <w:sz w:val="20"/>
          <w:szCs w:val="20"/>
        </w:rPr>
        <w:t>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w:t>
      </w:r>
      <w:r w:rsidR="00270F54">
        <w:rPr>
          <w:rFonts w:ascii="Arial" w:hAnsi="Arial" w:cs="Arial"/>
          <w:sz w:val="20"/>
          <w:szCs w:val="20"/>
        </w:rPr>
        <w:t>STI Participant</w:t>
      </w:r>
      <w:r w:rsidR="00317729">
        <w:rPr>
          <w:rFonts w:ascii="Arial" w:hAnsi="Arial" w:cs="Arial"/>
          <w:sz w:val="20"/>
          <w:szCs w:val="20"/>
        </w:rPr>
        <w:t xml:space="preserve">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w:t>
      </w:r>
      <w:r w:rsidR="00270F54">
        <w:rPr>
          <w:rFonts w:ascii="Arial" w:hAnsi="Arial" w:cs="Arial"/>
          <w:sz w:val="20"/>
          <w:szCs w:val="20"/>
        </w:rPr>
        <w:t>STI Participant</w:t>
      </w:r>
      <w:r w:rsidRPr="002A5C6E">
        <w:rPr>
          <w:rFonts w:ascii="Arial" w:hAnsi="Arial" w:cs="Arial"/>
          <w:sz w:val="20"/>
          <w:szCs w:val="20"/>
        </w:rPr>
        <w:t>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202BE741"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 xml:space="preserve">This list is distributed to </w:t>
      </w:r>
      <w:r w:rsidR="00270F54">
        <w:rPr>
          <w:rFonts w:ascii="Arial" w:hAnsi="Arial" w:cs="Arial"/>
          <w:sz w:val="20"/>
          <w:szCs w:val="20"/>
        </w:rPr>
        <w:t>STI Participant</w:t>
      </w:r>
      <w:r w:rsidRPr="002A5C6E">
        <w:rPr>
          <w:rFonts w:ascii="Arial" w:hAnsi="Arial" w:cs="Arial"/>
          <w:sz w:val="20"/>
          <w:szCs w:val="20"/>
        </w:rPr>
        <w:t>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w:t>
      </w:r>
      <w:r w:rsidR="00270F54">
        <w:rPr>
          <w:rFonts w:ascii="Arial" w:hAnsi="Arial" w:cs="Arial"/>
          <w:sz w:val="20"/>
          <w:szCs w:val="20"/>
        </w:rPr>
        <w:t>STI Participant</w:t>
      </w:r>
      <w:r w:rsidRPr="002A5C6E">
        <w:rPr>
          <w:rFonts w:ascii="Arial" w:hAnsi="Arial" w:cs="Arial"/>
          <w:sz w:val="20"/>
          <w:szCs w:val="20"/>
        </w:rPr>
        <w:t xml:space="preserve">s. </w:t>
      </w:r>
    </w:p>
    <w:p w14:paraId="43887188" w14:textId="77777777" w:rsidR="002A5C6E" w:rsidRPr="002A5C6E" w:rsidRDefault="002A5C6E" w:rsidP="008014AC">
      <w:pPr>
        <w:jc w:val="both"/>
        <w:rPr>
          <w:rFonts w:ascii="Arial" w:hAnsi="Arial" w:cs="Arial"/>
          <w:sz w:val="20"/>
          <w:szCs w:val="20"/>
        </w:rPr>
      </w:pPr>
    </w:p>
    <w:p w14:paraId="4BD09585" w14:textId="1D5CA99D"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w:t>
      </w:r>
      <w:r w:rsidR="00270F54">
        <w:rPr>
          <w:rFonts w:ascii="Arial" w:hAnsi="Arial" w:cs="Arial"/>
          <w:sz w:val="20"/>
          <w:szCs w:val="20"/>
        </w:rPr>
        <w:t>STI Participant</w:t>
      </w:r>
      <w:r w:rsidRPr="00F56C25">
        <w:rPr>
          <w:rFonts w:ascii="Arial" w:hAnsi="Arial" w:cs="Arial"/>
          <w:sz w:val="20"/>
          <w:szCs w:val="20"/>
        </w:rPr>
        <w:t xml:space="preserve">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w:t>
      </w:r>
      <w:r w:rsidR="00270F54">
        <w:rPr>
          <w:rFonts w:ascii="Arial" w:hAnsi="Arial" w:cs="Arial"/>
          <w:sz w:val="20"/>
          <w:szCs w:val="20"/>
        </w:rPr>
        <w:t xml:space="preserve">STI Participant </w:t>
      </w:r>
      <w:r w:rsidR="00CE70EA" w:rsidRPr="002A5C6E">
        <w:rPr>
          <w:rFonts w:ascii="Arial" w:hAnsi="Arial" w:cs="Arial"/>
          <w:sz w:val="20"/>
          <w:szCs w:val="20"/>
        </w:rPr>
        <w:t>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w:t>
      </w:r>
      <w:r w:rsidR="00270F54">
        <w:rPr>
          <w:rFonts w:ascii="Arial" w:hAnsi="Arial" w:cs="Arial"/>
          <w:sz w:val="20"/>
          <w:szCs w:val="20"/>
        </w:rPr>
        <w:t>An STI Participant</w:t>
      </w:r>
      <w:r w:rsidR="00822AC0">
        <w:rPr>
          <w:rFonts w:ascii="Arial" w:hAnsi="Arial" w:cs="Arial"/>
          <w:sz w:val="20"/>
          <w:szCs w:val="20"/>
        </w:rPr>
        <w:t xml:space="preserve"> </w:t>
      </w:r>
      <w:r w:rsidR="00EA6B00">
        <w:rPr>
          <w:rFonts w:ascii="Arial" w:hAnsi="Arial" w:cs="Arial"/>
          <w:sz w:val="20"/>
          <w:szCs w:val="20"/>
        </w:rPr>
        <w:t>can also obtain a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664BD5C1" w:rsidR="00CE70EA" w:rsidRPr="002A5C6E" w:rsidRDefault="00CE70EA" w:rsidP="008014AC">
      <w:pPr>
        <w:jc w:val="both"/>
        <w:rPr>
          <w:rFonts w:ascii="Arial" w:hAnsi="Arial" w:cs="Arial"/>
          <w:sz w:val="20"/>
          <w:szCs w:val="20"/>
        </w:rPr>
      </w:pPr>
      <w:r w:rsidRPr="002A5C6E">
        <w:rPr>
          <w:rFonts w:ascii="Arial" w:hAnsi="Arial" w:cs="Arial"/>
          <w:sz w:val="20"/>
          <w:szCs w:val="20"/>
        </w:rPr>
        <w:t>The SHAKEN certificate management framework is based on using a signed Service Provider Code</w:t>
      </w:r>
      <w:r w:rsidR="008F1467">
        <w:rPr>
          <w:rFonts w:ascii="Arial" w:hAnsi="Arial" w:cs="Arial"/>
          <w:sz w:val="20"/>
          <w:szCs w:val="20"/>
        </w:rPr>
        <w:t xml:space="preserve"> (SPC)</w:t>
      </w:r>
      <w:r w:rsidRPr="002A5C6E">
        <w:rPr>
          <w:rFonts w:ascii="Arial" w:hAnsi="Arial" w:cs="Arial"/>
          <w:sz w:val="20"/>
          <w:szCs w:val="20"/>
        </w:rPr>
        <w:t xml:space="preserv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 xml:space="preserve">Prior to requesting a certificate, the </w:t>
      </w:r>
      <w:r w:rsidR="00270F54">
        <w:rPr>
          <w:rFonts w:ascii="Arial" w:hAnsi="Arial" w:cs="Arial"/>
          <w:sz w:val="20"/>
          <w:szCs w:val="20"/>
        </w:rPr>
        <w:t>STI Participant</w:t>
      </w:r>
      <w:r w:rsidRPr="002A5C6E">
        <w:rPr>
          <w:rFonts w:ascii="Arial" w:hAnsi="Arial" w:cs="Arial"/>
          <w:sz w:val="20"/>
          <w:szCs w:val="20"/>
        </w:rPr>
        <w:t xml:space="preserve">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w:t>
      </w:r>
      <w:r w:rsidR="0027117A">
        <w:rPr>
          <w:rFonts w:ascii="Arial" w:hAnsi="Arial" w:cs="Arial"/>
          <w:sz w:val="20"/>
          <w:szCs w:val="20"/>
        </w:rPr>
        <w:t>a</w:t>
      </w:r>
      <w:r w:rsidR="00270F54">
        <w:rPr>
          <w:rFonts w:ascii="Arial" w:hAnsi="Arial" w:cs="Arial"/>
          <w:sz w:val="20"/>
          <w:szCs w:val="20"/>
        </w:rPr>
        <w:t>n STI Participant</w:t>
      </w:r>
      <w:r w:rsidRPr="002A5C6E">
        <w:rPr>
          <w:rFonts w:ascii="Arial" w:hAnsi="Arial" w:cs="Arial"/>
          <w:sz w:val="20"/>
          <w:szCs w:val="20"/>
        </w:rPr>
        <w:t xml:space="preserve"> initiates a Certificate Signing Request (CSR), the </w:t>
      </w:r>
      <w:r w:rsidR="00270F54">
        <w:rPr>
          <w:rFonts w:ascii="Arial" w:hAnsi="Arial" w:cs="Arial"/>
          <w:sz w:val="20"/>
          <w:szCs w:val="20"/>
        </w:rPr>
        <w:t>STI Participant</w:t>
      </w:r>
      <w:r w:rsidRPr="002A5C6E">
        <w:rPr>
          <w:rFonts w:ascii="Arial" w:hAnsi="Arial" w:cs="Arial"/>
          <w:sz w:val="20"/>
          <w:szCs w:val="20"/>
        </w:rPr>
        <w:t xml:space="preserve">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w:t>
      </w:r>
      <w:r w:rsidR="008F1467">
        <w:rPr>
          <w:rFonts w:ascii="Arial" w:hAnsi="Arial" w:cs="Arial"/>
          <w:sz w:val="20"/>
          <w:szCs w:val="20"/>
        </w:rPr>
        <w:t xml:space="preserve">SPC </w:t>
      </w:r>
      <w:r w:rsidRPr="002A5C6E">
        <w:rPr>
          <w:rFonts w:ascii="Arial" w:hAnsi="Arial" w:cs="Arial"/>
          <w:sz w:val="20"/>
          <w:szCs w:val="20"/>
        </w:rPr>
        <w:t xml:space="preserve">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w:t>
      </w:r>
      <w:r w:rsidR="008F1467">
        <w:rPr>
          <w:rFonts w:ascii="Arial" w:hAnsi="Arial" w:cs="Arial"/>
          <w:sz w:val="20"/>
          <w:szCs w:val="20"/>
        </w:rPr>
        <w:t xml:space="preserve">SPC </w:t>
      </w:r>
      <w:r w:rsidRPr="002A5C6E">
        <w:rPr>
          <w:rFonts w:ascii="Arial" w:hAnsi="Arial" w:cs="Arial"/>
          <w:sz w:val="20"/>
          <w:szCs w:val="20"/>
        </w:rPr>
        <w:t xml:space="preserve">tokens. </w:t>
      </w:r>
    </w:p>
    <w:p w14:paraId="1DBD6CD3" w14:textId="7215968F" w:rsidR="00CE70EA" w:rsidRDefault="00CE70EA" w:rsidP="002176FA">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3F686E7D" w:rsidR="00317729" w:rsidRPr="002A5C6E" w:rsidRDefault="00175300" w:rsidP="002A5C6E">
      <w:pPr>
        <w:spacing w:before="60" w:after="120"/>
        <w:rPr>
          <w:rFonts w:ascii="Arial" w:hAnsi="Arial" w:cs="Arial"/>
          <w:i/>
          <w:sz w:val="20"/>
          <w:szCs w:val="20"/>
        </w:rPr>
      </w:pPr>
      <w:r>
        <w:rPr>
          <w:rFonts w:ascii="Arial" w:hAnsi="Arial" w:cs="Arial"/>
          <w:sz w:val="20"/>
          <w:szCs w:val="20"/>
        </w:rPr>
        <w:t xml:space="preserve">[Ref 3] </w:t>
      </w:r>
      <w:r w:rsidR="00317729">
        <w:rPr>
          <w:rFonts w:ascii="Arial" w:hAnsi="Arial" w:cs="Arial"/>
          <w:sz w:val="20"/>
          <w:szCs w:val="20"/>
        </w:rPr>
        <w:t xml:space="preserve">ATIS-1000092, </w:t>
      </w:r>
      <w:r w:rsidR="00317729"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sidR="00317729">
        <w:rPr>
          <w:rFonts w:ascii="Arial" w:hAnsi="Arial" w:cs="Arial"/>
          <w:i/>
          <w:sz w:val="20"/>
          <w:szCs w:val="20"/>
        </w:rPr>
        <w:t>: Delegate Certificates</w:t>
      </w:r>
      <w:r w:rsidR="00317729" w:rsidRPr="003D1FA5">
        <w:rPr>
          <w:rFonts w:ascii="Arial" w:hAnsi="Arial" w:cs="Arial"/>
          <w:i/>
          <w:sz w:val="20"/>
          <w:szCs w:val="20"/>
        </w:rPr>
        <w:t>.</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2511FD88" w:rsidR="00361C98"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3E380B72" w14:textId="1DD0F2BF" w:rsidR="00175300" w:rsidRPr="00827362" w:rsidRDefault="00175300" w:rsidP="002A5C6E">
      <w:pPr>
        <w:spacing w:before="60" w:after="120"/>
        <w:rPr>
          <w:rFonts w:ascii="Arial" w:hAnsi="Arial" w:cs="Arial"/>
          <w:i/>
          <w:iCs/>
          <w:sz w:val="20"/>
          <w:szCs w:val="20"/>
        </w:rPr>
      </w:pPr>
      <w:r>
        <w:rPr>
          <w:rFonts w:ascii="Arial" w:hAnsi="Arial" w:cs="Arial"/>
          <w:sz w:val="20"/>
          <w:szCs w:val="20"/>
        </w:rPr>
        <w:t xml:space="preserve">[Ref 7] RFC 3986, </w:t>
      </w:r>
      <w:r w:rsidRPr="00827362">
        <w:rPr>
          <w:rFonts w:ascii="Arial" w:hAnsi="Arial" w:cs="Arial"/>
          <w:bCs/>
          <w:i/>
          <w:iCs/>
          <w:sz w:val="20"/>
          <w:szCs w:val="20"/>
        </w:rPr>
        <w:t>Uniform Resource Identifier (URI): Generic Syntax</w:t>
      </w:r>
      <w:r>
        <w:rPr>
          <w:rFonts w:ascii="Arial" w:hAnsi="Arial" w:cs="Arial"/>
          <w:bCs/>
          <w:i/>
          <w:iCs/>
          <w:sz w:val="20"/>
          <w:szCs w:val="20"/>
        </w:rPr>
        <w:t>.</w:t>
      </w:r>
      <w:r>
        <w:rPr>
          <w:rFonts w:ascii="Arial" w:hAnsi="Arial" w:cs="Arial"/>
          <w:i/>
          <w:iCs/>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67B85FA9"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22941337" w14:textId="0B2A6961" w:rsidR="00175300" w:rsidRDefault="006F3C6A" w:rsidP="002A5C6E">
      <w:pPr>
        <w:spacing w:before="60" w:after="120"/>
        <w:rPr>
          <w:rFonts w:ascii="Arial" w:hAnsi="Arial" w:cs="Arial"/>
          <w:i/>
          <w:iCs/>
          <w:sz w:val="20"/>
          <w:szCs w:val="20"/>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175300">
        <w:rPr>
          <w:rFonts w:ascii="Arial" w:hAnsi="Arial" w:cs="Arial"/>
          <w:i/>
          <w:iCs/>
          <w:sz w:val="20"/>
          <w:szCs w:val="20"/>
        </w:rPr>
        <w:t>.</w:t>
      </w:r>
    </w:p>
    <w:p w14:paraId="343F7D49" w14:textId="01BFD959" w:rsidR="00175300" w:rsidRPr="00827362" w:rsidRDefault="00175300" w:rsidP="002A5C6E">
      <w:pPr>
        <w:spacing w:before="60" w:after="120"/>
        <w:rPr>
          <w:rFonts w:ascii="Arial" w:hAnsi="Arial" w:cs="Arial"/>
          <w:i/>
          <w:iCs/>
          <w:szCs w:val="20"/>
        </w:rPr>
      </w:pPr>
      <w:r>
        <w:rPr>
          <w:rFonts w:ascii="Arial" w:hAnsi="Arial" w:cs="Arial"/>
          <w:sz w:val="20"/>
          <w:szCs w:val="20"/>
        </w:rPr>
        <w:t xml:space="preserve">[Ref </w:t>
      </w:r>
      <w:r w:rsidR="00C526D5">
        <w:rPr>
          <w:rFonts w:ascii="Arial" w:hAnsi="Arial" w:cs="Arial"/>
          <w:sz w:val="20"/>
          <w:szCs w:val="20"/>
        </w:rPr>
        <w:t>13</w:t>
      </w:r>
      <w:r>
        <w:rPr>
          <w:rFonts w:ascii="Arial" w:hAnsi="Arial" w:cs="Arial"/>
          <w:sz w:val="20"/>
          <w:szCs w:val="20"/>
        </w:rPr>
        <w:t xml:space="preserve">] </w:t>
      </w:r>
      <w:r w:rsidRPr="002A5C6E">
        <w:rPr>
          <w:rFonts w:ascii="Arial" w:hAnsi="Arial" w:cs="Arial"/>
          <w:sz w:val="20"/>
          <w:szCs w:val="20"/>
        </w:rPr>
        <w:t xml:space="preserve">RFC </w:t>
      </w:r>
      <w:r>
        <w:rPr>
          <w:rFonts w:ascii="Arial" w:hAnsi="Arial" w:cs="Arial"/>
          <w:sz w:val="20"/>
          <w:szCs w:val="20"/>
        </w:rPr>
        <w:t>6890</w:t>
      </w:r>
      <w:r w:rsidRPr="002A5C6E">
        <w:rPr>
          <w:rFonts w:ascii="Arial" w:hAnsi="Arial" w:cs="Arial"/>
          <w:sz w:val="20"/>
          <w:szCs w:val="20"/>
        </w:rPr>
        <w:t>,</w:t>
      </w:r>
      <w:r w:rsidRPr="002A5C6E">
        <w:rPr>
          <w:rFonts w:ascii="Arial" w:hAnsi="Arial" w:cs="Arial"/>
          <w:i/>
          <w:sz w:val="20"/>
          <w:szCs w:val="20"/>
        </w:rPr>
        <w:t xml:space="preserve"> </w:t>
      </w:r>
      <w:r w:rsidRPr="00827362">
        <w:rPr>
          <w:rFonts w:ascii="Arial" w:hAnsi="Arial" w:cs="Arial"/>
          <w:bCs/>
          <w:i/>
          <w:iCs/>
          <w:sz w:val="20"/>
          <w:szCs w:val="20"/>
        </w:rPr>
        <w:t>Special-Purpose IP Address Registries</w:t>
      </w:r>
      <w:r w:rsidRPr="00175300">
        <w:rPr>
          <w:rFonts w:ascii="Arial" w:hAnsi="Arial" w:cs="Arial"/>
          <w:i/>
          <w:iCs/>
          <w:sz w:val="20"/>
          <w:szCs w:val="20"/>
        </w:rPr>
        <w:t>)</w:t>
      </w:r>
      <w:r w:rsidRPr="00175300">
        <w:rPr>
          <w:rFonts w:ascii="Arial" w:hAnsi="Arial" w:cs="Arial"/>
          <w:i/>
          <w:sz w:val="20"/>
          <w:szCs w:val="20"/>
        </w:rPr>
        <w:t>.</w:t>
      </w:r>
      <w:r w:rsidRPr="00185DB6">
        <w:rPr>
          <w:rFonts w:ascii="Arial" w:hAnsi="Arial" w:cs="Arial"/>
          <w:sz w:val="20"/>
          <w:szCs w:val="20"/>
          <w:vertAlign w:val="superscript"/>
        </w:rPr>
        <w:t>2</w:t>
      </w:r>
    </w:p>
    <w:p w14:paraId="0EECB555" w14:textId="48CE3D82"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 xml:space="preserve">[Ref </w:t>
      </w:r>
      <w:r w:rsidR="00C526D5" w:rsidRPr="00185DB6">
        <w:rPr>
          <w:rFonts w:ascii="Arial" w:hAnsi="Arial" w:cs="Arial"/>
          <w:sz w:val="20"/>
          <w:szCs w:val="20"/>
        </w:rPr>
        <w:t>1</w:t>
      </w:r>
      <w:r w:rsidR="00C526D5">
        <w:rPr>
          <w:rFonts w:ascii="Arial" w:hAnsi="Arial" w:cs="Arial"/>
          <w:sz w:val="20"/>
          <w:szCs w:val="20"/>
        </w:rPr>
        <w:t>4</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20F8025C" w:rsidR="00361C98" w:rsidRDefault="006F3C6A" w:rsidP="002A5C6E">
      <w:pPr>
        <w:spacing w:before="60" w:after="120"/>
        <w:rPr>
          <w:rFonts w:ascii="Arial" w:hAnsi="Arial" w:cs="Arial"/>
          <w:sz w:val="20"/>
          <w:szCs w:val="20"/>
          <w:vertAlign w:val="superscript"/>
        </w:rPr>
      </w:pPr>
      <w:r>
        <w:rPr>
          <w:rFonts w:ascii="Arial" w:hAnsi="Arial" w:cs="Arial"/>
          <w:sz w:val="20"/>
          <w:szCs w:val="20"/>
        </w:rPr>
        <w:t xml:space="preserve">[Ref </w:t>
      </w:r>
      <w:r w:rsidR="00C526D5">
        <w:rPr>
          <w:rFonts w:ascii="Arial" w:hAnsi="Arial" w:cs="Arial"/>
          <w:sz w:val="20"/>
          <w:szCs w:val="20"/>
        </w:rPr>
        <w:t>15</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7A438D1A" w14:textId="674C39F1" w:rsidR="00C526D5" w:rsidRPr="002A5C6E" w:rsidRDefault="00C526D5" w:rsidP="002A5C6E">
      <w:pPr>
        <w:spacing w:before="60" w:after="120"/>
        <w:rPr>
          <w:rFonts w:ascii="Arial" w:hAnsi="Arial" w:cs="Arial"/>
          <w:i/>
          <w:sz w:val="20"/>
          <w:szCs w:val="20"/>
        </w:rPr>
      </w:pPr>
      <w:r>
        <w:rPr>
          <w:rFonts w:ascii="Arial" w:hAnsi="Arial" w:cs="Arial"/>
          <w:sz w:val="20"/>
          <w:szCs w:val="20"/>
        </w:rPr>
        <w:t xml:space="preserve">[Ref 16] </w:t>
      </w:r>
      <w:r w:rsidRPr="002A5C6E">
        <w:rPr>
          <w:rFonts w:ascii="Arial" w:hAnsi="Arial" w:cs="Arial"/>
          <w:sz w:val="20"/>
          <w:szCs w:val="20"/>
        </w:rPr>
        <w:t>RFC 7</w:t>
      </w:r>
      <w:r>
        <w:rPr>
          <w:rFonts w:ascii="Arial" w:hAnsi="Arial" w:cs="Arial"/>
          <w:sz w:val="20"/>
          <w:szCs w:val="20"/>
        </w:rPr>
        <w:t>468</w:t>
      </w:r>
      <w:r w:rsidRPr="002A5C6E">
        <w:rPr>
          <w:rFonts w:ascii="Arial" w:hAnsi="Arial" w:cs="Arial"/>
          <w:sz w:val="20"/>
          <w:szCs w:val="20"/>
        </w:rPr>
        <w:t>,</w:t>
      </w:r>
      <w:r w:rsidRPr="002A5C6E">
        <w:rPr>
          <w:rFonts w:ascii="Arial" w:hAnsi="Arial" w:cs="Arial"/>
          <w:i/>
          <w:sz w:val="20"/>
          <w:szCs w:val="20"/>
        </w:rPr>
        <w:t xml:space="preserve"> </w:t>
      </w:r>
      <w:r w:rsidRPr="00827362">
        <w:rPr>
          <w:rFonts w:ascii="Arial" w:hAnsi="Arial" w:cs="Arial"/>
          <w:bCs/>
          <w:i/>
          <w:sz w:val="20"/>
          <w:szCs w:val="20"/>
        </w:rPr>
        <w:t>Textual Encodings of PKIX, PKCS, and CMS Structure</w:t>
      </w:r>
      <w:r w:rsidRPr="002A5C6E">
        <w:rPr>
          <w:rFonts w:ascii="Arial" w:hAnsi="Arial" w:cs="Arial"/>
          <w:i/>
          <w:sz w:val="20"/>
          <w:szCs w:val="20"/>
        </w:rPr>
        <w:t>.</w:t>
      </w:r>
      <w:r w:rsidRPr="002A5C6E">
        <w:rPr>
          <w:rFonts w:ascii="Arial" w:hAnsi="Arial" w:cs="Arial"/>
          <w:sz w:val="20"/>
          <w:szCs w:val="20"/>
          <w:vertAlign w:val="superscript"/>
        </w:rPr>
        <w:t>2</w:t>
      </w:r>
    </w:p>
    <w:p w14:paraId="13BA918A" w14:textId="24BD4C73"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C526D5">
        <w:rPr>
          <w:rFonts w:ascii="Arial" w:hAnsi="Arial" w:cs="Arial"/>
          <w:sz w:val="20"/>
          <w:szCs w:val="20"/>
        </w:rPr>
        <w:t>17</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5B0F8171" w:rsidR="00CF293F" w:rsidRDefault="006F3C6A" w:rsidP="00CF293F">
      <w:pPr>
        <w:spacing w:before="60" w:after="120"/>
        <w:rPr>
          <w:rFonts w:ascii="Arial" w:hAnsi="Arial" w:cs="Arial"/>
          <w:sz w:val="20"/>
          <w:szCs w:val="20"/>
          <w:vertAlign w:val="superscript"/>
        </w:rPr>
      </w:pPr>
      <w:r>
        <w:rPr>
          <w:rFonts w:ascii="Arial" w:hAnsi="Arial" w:cs="Arial"/>
          <w:sz w:val="20"/>
          <w:szCs w:val="20"/>
        </w:rPr>
        <w:t xml:space="preserve">[Ref </w:t>
      </w:r>
      <w:r w:rsidR="00C526D5">
        <w:rPr>
          <w:rFonts w:ascii="Arial" w:hAnsi="Arial" w:cs="Arial"/>
          <w:sz w:val="20"/>
          <w:szCs w:val="20"/>
        </w:rPr>
        <w:t>18</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1D37C0A7" w14:textId="094C2585" w:rsidR="00175300" w:rsidRPr="00CA78A1" w:rsidRDefault="00175300" w:rsidP="00CF293F">
      <w:pPr>
        <w:spacing w:before="60" w:after="120"/>
        <w:rPr>
          <w:rFonts w:ascii="Arial" w:hAnsi="Arial" w:cs="Arial"/>
          <w:sz w:val="20"/>
          <w:szCs w:val="20"/>
        </w:rPr>
      </w:pP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7D905F22" w14:textId="16F8DE73" w:rsidR="0091349B" w:rsidRPr="00721314" w:rsidRDefault="0091349B" w:rsidP="0091349B">
      <w:pPr>
        <w:spacing w:before="60" w:after="120"/>
        <w:rPr>
          <w:rFonts w:ascii="Arial" w:hAnsi="Arial" w:cs="Arial"/>
          <w:sz w:val="20"/>
          <w:szCs w:val="20"/>
        </w:rPr>
      </w:pPr>
      <w:r>
        <w:rPr>
          <w:rFonts w:ascii="Arial" w:hAnsi="Arial" w:cs="Arial"/>
          <w:sz w:val="20"/>
          <w:szCs w:val="20"/>
        </w:rPr>
        <w:t>[Ref 10</w:t>
      </w:r>
      <w:r w:rsidR="00BD7F01">
        <w:rPr>
          <w:rFonts w:ascii="Arial" w:hAnsi="Arial" w:cs="Arial"/>
          <w:sz w:val="20"/>
          <w:szCs w:val="20"/>
        </w:rPr>
        <w:t>0</w:t>
      </w:r>
      <w:r>
        <w:rPr>
          <w:rFonts w:ascii="Arial" w:hAnsi="Arial" w:cs="Arial"/>
          <w:sz w:val="20"/>
          <w:szCs w:val="20"/>
        </w:rPr>
        <w:t xml:space="preserve">]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59E770C"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w:t>
      </w:r>
      <w:r w:rsidR="00BD7F01">
        <w:rPr>
          <w:rFonts w:ascii="Arial" w:hAnsi="Arial" w:cs="Arial"/>
          <w:sz w:val="20"/>
          <w:szCs w:val="20"/>
        </w:rPr>
        <w:t>1</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2176FA">
      <w:pPr>
        <w:pStyle w:val="Heading1"/>
      </w:pPr>
      <w:bookmarkStart w:id="63" w:name="_Toc31717725"/>
      <w:r>
        <w:lastRenderedPageBreak/>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505F4FF2"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w:t>
      </w:r>
      <w:r w:rsidR="0027117A">
        <w:rPr>
          <w:rFonts w:ascii="Arial" w:hAnsi="Arial" w:cs="Arial"/>
          <w:sz w:val="20"/>
          <w:szCs w:val="20"/>
        </w:rPr>
        <w:t>a</w:t>
      </w:r>
      <w:r w:rsidR="00270F54">
        <w:rPr>
          <w:rFonts w:ascii="Arial" w:hAnsi="Arial" w:cs="Arial"/>
          <w:sz w:val="20"/>
          <w:szCs w:val="20"/>
        </w:rPr>
        <w:t>n STI Participant</w:t>
      </w:r>
      <w:r w:rsidR="002373A8">
        <w:rPr>
          <w:rFonts w:ascii="Arial" w:hAnsi="Arial" w:cs="Arial"/>
          <w:sz w:val="20"/>
          <w:szCs w:val="20"/>
        </w:rPr>
        <w:t xml:space="preserve">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881D503" w14:textId="18810997"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w:t>
      </w:r>
      <w:r w:rsidR="00270F54">
        <w:rPr>
          <w:rFonts w:ascii="Arial" w:hAnsi="Arial" w:cs="Arial"/>
          <w:sz w:val="20"/>
          <w:szCs w:val="20"/>
        </w:rPr>
        <w:t>STI Participant</w:t>
      </w:r>
      <w:r w:rsidRPr="002A5C6E">
        <w:rPr>
          <w:rFonts w:ascii="Arial" w:hAnsi="Arial" w:cs="Arial"/>
          <w:sz w:val="20"/>
          <w:szCs w:val="20"/>
        </w:rPr>
        <w:t xml:space="preserve">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823F127"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5D8074A8" w:rsidR="001E05F5"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24083EF5" w14:textId="13DE724F" w:rsidR="00D51A06" w:rsidRPr="00D51A06" w:rsidRDefault="00D51A06" w:rsidP="008014AC">
      <w:pPr>
        <w:spacing w:before="60" w:after="120"/>
        <w:jc w:val="both"/>
        <w:rPr>
          <w:rFonts w:ascii="Arial" w:hAnsi="Arial" w:cs="Arial"/>
          <w:bCs/>
          <w:sz w:val="20"/>
          <w:szCs w:val="20"/>
        </w:rPr>
      </w:pPr>
      <w:r w:rsidRPr="00D51A06">
        <w:rPr>
          <w:rFonts w:ascii="Arial" w:hAnsi="Arial" w:cs="Arial"/>
          <w:b/>
          <w:sz w:val="20"/>
          <w:szCs w:val="20"/>
        </w:rPr>
        <w:t>Responsible Organization (</w:t>
      </w:r>
      <w:proofErr w:type="spellStart"/>
      <w:r w:rsidRPr="00D51A06">
        <w:rPr>
          <w:rFonts w:ascii="Arial" w:hAnsi="Arial" w:cs="Arial"/>
          <w:b/>
          <w:sz w:val="20"/>
          <w:szCs w:val="20"/>
        </w:rPr>
        <w:t>RespOrg</w:t>
      </w:r>
      <w:proofErr w:type="spellEnd"/>
      <w:r w:rsidRPr="00D51A06">
        <w:rPr>
          <w:rFonts w:ascii="Arial" w:hAnsi="Arial" w:cs="Arial"/>
          <w:b/>
          <w:sz w:val="20"/>
          <w:szCs w:val="20"/>
        </w:rPr>
        <w:t xml:space="preserve">): </w:t>
      </w:r>
      <w:r w:rsidRPr="00D51A06">
        <w:rPr>
          <w:rFonts w:ascii="Arial" w:hAnsi="Arial" w:cs="Arial"/>
          <w:bCs/>
          <w:sz w:val="20"/>
          <w:szCs w:val="20"/>
        </w:rPr>
        <w:t xml:space="preserve">An </w:t>
      </w:r>
      <w:r>
        <w:rPr>
          <w:rFonts w:ascii="Arial" w:hAnsi="Arial" w:cs="Arial"/>
          <w:bCs/>
          <w:sz w:val="20"/>
          <w:szCs w:val="20"/>
        </w:rPr>
        <w:t>STI Participant</w:t>
      </w:r>
      <w:r w:rsidRPr="00D51A06">
        <w:rPr>
          <w:rFonts w:ascii="Arial" w:hAnsi="Arial" w:cs="Arial"/>
          <w:bCs/>
          <w:sz w:val="20"/>
          <w:szCs w:val="20"/>
        </w:rPr>
        <w:t xml:space="preserve"> designated as the agent for the Toll-Free subscriber to obtain, manage and administer Toll-Free Numbers and provide routing reference information in the Toll-Free Number Registry (TFNR).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are the only parties who assign, manage and administer Toll-Free numbers in the Toll-Free Number Registry. [ATIS-1000093, </w:t>
      </w:r>
      <w:r w:rsidRPr="00D51A06">
        <w:rPr>
          <w:rFonts w:ascii="Arial" w:hAnsi="Arial" w:cs="Arial"/>
          <w:i/>
          <w:iCs/>
          <w:sz w:val="20"/>
          <w:szCs w:val="20"/>
        </w:rPr>
        <w:t>ATIS Standard on Toll-Free Numbers in the SHAKEN Framework</w:t>
      </w:r>
      <w:r w:rsidRPr="00D51A06">
        <w:rPr>
          <w:rFonts w:ascii="Arial" w:hAnsi="Arial" w:cs="Arial"/>
          <w:bCs/>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5C3B498E"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w:t>
      </w:r>
      <w:r w:rsidR="00D51A06" w:rsidRPr="00D51A06">
        <w:rPr>
          <w:rFonts w:ascii="Arial" w:hAnsi="Arial" w:cs="Arial"/>
          <w:sz w:val="20"/>
          <w:szCs w:val="20"/>
        </w:rPr>
        <w:t xml:space="preserve">A public key certificate used by an STI Participant to sign and verify the PASSporT.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25572205" w:rsidR="001418C8" w:rsidRPr="0027117A" w:rsidRDefault="001418C8" w:rsidP="008014AC">
      <w:pPr>
        <w:spacing w:before="60" w:after="120"/>
        <w:jc w:val="both"/>
        <w:rPr>
          <w:rFonts w:ascii="Arial" w:hAnsi="Arial" w:cs="Arial"/>
          <w:bCs/>
          <w:sz w:val="20"/>
          <w:szCs w:val="20"/>
        </w:rPr>
      </w:pPr>
      <w:r w:rsidRPr="002A5C6E">
        <w:rPr>
          <w:rFonts w:ascii="Arial" w:hAnsi="Arial" w:cs="Arial"/>
          <w:b/>
          <w:bCs/>
          <w:sz w:val="20"/>
          <w:szCs w:val="20"/>
        </w:rPr>
        <w:t xml:space="preserve">Service Provider Code: </w:t>
      </w:r>
      <w:r w:rsidR="00D51A06" w:rsidRPr="00D51A06">
        <w:rPr>
          <w:rFonts w:ascii="Arial" w:hAnsi="Arial" w:cs="Arial"/>
          <w:bCs/>
          <w:sz w:val="20"/>
          <w:szCs w:val="20"/>
        </w:rPr>
        <w:t xml:space="preserve">In the context of this document, this term refers to any unique identifier that is allocated by a Regulatory and/or administrative entity to an STI Participant. </w:t>
      </w:r>
    </w:p>
    <w:p w14:paraId="4755EED0" w14:textId="646787DB"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 xml:space="preserve">HAKEN </w:t>
      </w:r>
      <w:r w:rsidR="00D51A06">
        <w:rPr>
          <w:rFonts w:ascii="Arial" w:hAnsi="Arial" w:cs="Arial"/>
          <w:color w:val="222222"/>
          <w:sz w:val="20"/>
          <w:szCs w:val="20"/>
          <w:shd w:val="clear" w:color="auto" w:fill="FFFFFF"/>
        </w:rPr>
        <w:t>STI Participant</w:t>
      </w:r>
      <w:r w:rsidR="00F87381" w:rsidRPr="002A5C6E">
        <w:rPr>
          <w:rFonts w:ascii="Arial" w:hAnsi="Arial" w:cs="Arial"/>
          <w:color w:val="222222"/>
          <w:sz w:val="20"/>
          <w:szCs w:val="20"/>
          <w:shd w:val="clear" w:color="auto" w:fill="FFFFFF"/>
        </w:rPr>
        <w:t xml:space="preserve">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AFEB3CE"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A5E39C0" w14:textId="77777777" w:rsidR="00D51A06" w:rsidRPr="00D51A06" w:rsidRDefault="00D51A06" w:rsidP="00D51A06">
      <w:pPr>
        <w:spacing w:before="60" w:after="120"/>
        <w:jc w:val="both"/>
        <w:rPr>
          <w:rFonts w:ascii="Arial" w:hAnsi="Arial" w:cs="Arial"/>
          <w:bCs/>
          <w:sz w:val="20"/>
          <w:szCs w:val="20"/>
        </w:rPr>
      </w:pPr>
      <w:r w:rsidRPr="00D51A06">
        <w:rPr>
          <w:rFonts w:ascii="Arial" w:hAnsi="Arial" w:cs="Arial"/>
          <w:b/>
          <w:sz w:val="20"/>
          <w:szCs w:val="20"/>
        </w:rPr>
        <w:t>STI Participant:</w:t>
      </w:r>
      <w:r w:rsidRPr="00D51A06">
        <w:rPr>
          <w:rFonts w:ascii="Arial" w:hAnsi="Arial" w:cs="Arial"/>
          <w:bCs/>
          <w:sz w:val="20"/>
          <w:szCs w:val="20"/>
        </w:rPr>
        <w:t xml:space="preserve"> Service Providers,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and other parties that the STI-GA authorizes to obtain SPC Tokens. </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2176FA">
      <w:pPr>
        <w:pStyle w:val="Heading1"/>
      </w:pPr>
      <w:bookmarkStart w:id="68" w:name="_Toc339809240"/>
      <w:bookmarkStart w:id="69" w:name="_Toc31717728"/>
      <w:r>
        <w:t>Overview</w:t>
      </w:r>
      <w:bookmarkEnd w:id="68"/>
      <w:bookmarkEnd w:id="69"/>
    </w:p>
    <w:p w14:paraId="34F7E928" w14:textId="75E14E9F"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w:t>
      </w:r>
      <w:r w:rsidR="00270F54">
        <w:rPr>
          <w:rFonts w:ascii="Arial" w:hAnsi="Arial" w:cs="Arial"/>
          <w:sz w:val="20"/>
          <w:szCs w:val="20"/>
        </w:rPr>
        <w:t>STI Participant</w:t>
      </w:r>
      <w:r w:rsidRPr="007F5A58">
        <w:rPr>
          <w:rFonts w:ascii="Arial" w:hAnsi="Arial" w:cs="Arial"/>
          <w:sz w:val="20"/>
          <w:szCs w:val="20"/>
        </w:rPr>
        <w:t xml:space="preserve">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9441CCD" w:rsidR="000E1A4A" w:rsidRPr="00FD5740" w:rsidRDefault="0049653D" w:rsidP="00FD5740">
      <w:pPr>
        <w:keepNext/>
        <w:widowControl w:val="0"/>
        <w:autoSpaceDE w:val="0"/>
        <w:autoSpaceDN w:val="0"/>
        <w:adjustRightInd w:val="0"/>
        <w:spacing w:line="280" w:lineRule="atLeast"/>
        <w:jc w:val="center"/>
      </w:pPr>
      <w:r>
        <w:rPr>
          <w:noProof/>
        </w:rPr>
        <w:drawing>
          <wp:inline distT="0" distB="0" distL="0" distR="0" wp14:anchorId="21C74E9C" wp14:editId="41856AEA">
            <wp:extent cx="6400800" cy="3600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6400800" cy="3600450"/>
                    </a:xfrm>
                    <a:prstGeom prst="rect">
                      <a:avLst/>
                    </a:prstGeom>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247A2C36"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w:t>
      </w:r>
      <w:r w:rsidR="00270F54">
        <w:rPr>
          <w:rFonts w:ascii="Arial" w:hAnsi="Arial" w:cs="Arial"/>
          <w:sz w:val="20"/>
          <w:szCs w:val="20"/>
        </w:rPr>
        <w:t>STI Participant</w:t>
      </w:r>
      <w:r w:rsidRPr="002A5C6E">
        <w:rPr>
          <w:rFonts w:ascii="Arial" w:hAnsi="Arial" w:cs="Arial"/>
          <w:sz w:val="20"/>
          <w:szCs w:val="20"/>
        </w:rPr>
        <w:t xml:space="preserve">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2176FA">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27117A">
      <w:pPr>
        <w:keepNext/>
        <w:rPr>
          <w:rFonts w:ascii="Arial" w:hAnsi="Arial" w:cs="Arial"/>
          <w:sz w:val="20"/>
          <w:szCs w:val="20"/>
        </w:rPr>
      </w:pPr>
      <w:r w:rsidRPr="007F5A58">
        <w:rPr>
          <w:rFonts w:ascii="Arial" w:hAnsi="Arial" w:cs="Arial"/>
          <w:sz w:val="20"/>
          <w:szCs w:val="20"/>
        </w:rPr>
        <w:lastRenderedPageBreak/>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6BC9BE3E" w:rsidR="000626DA" w:rsidRDefault="00FE0539"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ADEDD6A" wp14:editId="4D9380A8">
            <wp:extent cx="6413500" cy="372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stretch>
                      <a:fillRect/>
                    </a:stretch>
                  </pic:blipFill>
                  <pic:spPr>
                    <a:xfrm>
                      <a:off x="0" y="0"/>
                      <a:ext cx="6413500" cy="372110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74B9053"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w:t>
      </w:r>
      <w:r w:rsidR="006068F6">
        <w:rPr>
          <w:rFonts w:ascii="Arial" w:hAnsi="Arial" w:cs="Arial"/>
          <w:sz w:val="20"/>
          <w:szCs w:val="20"/>
        </w:rPr>
        <w:t>SPC</w:t>
      </w:r>
      <w:r w:rsidR="008F1467">
        <w:rPr>
          <w:rFonts w:ascii="Arial" w:hAnsi="Arial" w:cs="Arial"/>
          <w:sz w:val="20"/>
          <w:szCs w:val="20"/>
        </w:rPr>
        <w:t xml:space="preserve"> </w:t>
      </w:r>
      <w:r w:rsidRPr="002A5C6E">
        <w:rPr>
          <w:rFonts w:ascii="Arial" w:hAnsi="Arial" w:cs="Arial"/>
          <w:sz w:val="20"/>
          <w:szCs w:val="20"/>
        </w:rPr>
        <w:t xml:space="preserve">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5BA4F84"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27117A">
        <w:rPr>
          <w:rFonts w:ascii="Arial" w:hAnsi="Arial" w:cs="Arial"/>
          <w:sz w:val="20"/>
          <w:szCs w:val="20"/>
        </w:rPr>
        <w:t>a</w:t>
      </w:r>
      <w:r w:rsidR="00270F54">
        <w:rPr>
          <w:rFonts w:ascii="Arial" w:hAnsi="Arial" w:cs="Arial"/>
          <w:sz w:val="20"/>
          <w:szCs w:val="20"/>
        </w:rPr>
        <w:t>n STI Participant</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17896415"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E0539">
        <w:rPr>
          <w:rFonts w:ascii="Times Roman" w:hAnsi="Times Roman" w:cs="Times Roman"/>
          <w:noProof/>
          <w:color w:val="000000"/>
          <w:sz w:val="24"/>
        </w:rPr>
        <w:drawing>
          <wp:inline distT="0" distB="0" distL="0" distR="0" wp14:anchorId="788C926B" wp14:editId="0D445FA1">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stretch>
                      <a:fillRect/>
                    </a:stretch>
                  </pic:blipFill>
                  <pic:spPr>
                    <a:xfrm>
                      <a:off x="0" y="0"/>
                      <a:ext cx="6400800" cy="360045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34CD4627"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175300">
        <w:t xml:space="preserve"> </w:t>
      </w:r>
      <w:r w:rsidR="00175300" w:rsidRPr="00827362">
        <w:rPr>
          <w:rFonts w:ascii="Arial" w:hAnsi="Arial" w:cs="Arial"/>
          <w:sz w:val="20"/>
          <w:szCs w:val="20"/>
        </w:rPr>
        <w:t>[Ref 3]</w:t>
      </w:r>
      <w:r w:rsidR="00175300">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w:t>
      </w:r>
      <w:proofErr w:type="spellStart"/>
      <w:r w:rsidR="00D51A06">
        <w:rPr>
          <w:rFonts w:ascii="Arial" w:hAnsi="Arial" w:cs="Arial"/>
          <w:sz w:val="21"/>
          <w:szCs w:val="21"/>
        </w:rPr>
        <w:t>an</w:t>
      </w:r>
      <w:proofErr w:type="spellEnd"/>
      <w:r w:rsidR="00D51A06">
        <w:rPr>
          <w:rFonts w:ascii="Arial" w:hAnsi="Arial" w:cs="Arial"/>
          <w:sz w:val="21"/>
          <w:szCs w:val="21"/>
        </w:rPr>
        <w:t xml:space="preserve"> STI Participant </w:t>
      </w:r>
      <w:r w:rsidR="006A32F8">
        <w:rPr>
          <w:rFonts w:ascii="Arial" w:hAnsi="Arial" w:cs="Arial"/>
          <w:sz w:val="21"/>
          <w:szCs w:val="21"/>
        </w:rPr>
        <w:t xml:space="preserve">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w:t>
      </w:r>
      <w:r w:rsidR="00270F54">
        <w:rPr>
          <w:rFonts w:ascii="Arial" w:hAnsi="Arial" w:cs="Arial"/>
          <w:sz w:val="21"/>
          <w:szCs w:val="21"/>
        </w:rPr>
        <w:t xml:space="preserve">STI Participant </w:t>
      </w:r>
      <w:r w:rsidR="006A32F8">
        <w:rPr>
          <w:rFonts w:ascii="Arial" w:hAnsi="Arial" w:cs="Arial"/>
          <w:sz w:val="21"/>
          <w:szCs w:val="21"/>
        </w:rPr>
        <w:t xml:space="preserve">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w:t>
      </w:r>
      <w:r w:rsidR="00D51A06">
        <w:rPr>
          <w:rFonts w:ascii="Arial" w:hAnsi="Arial" w:cs="Arial"/>
          <w:sz w:val="21"/>
          <w:szCs w:val="21"/>
        </w:rPr>
        <w:t>STI Participant</w:t>
      </w:r>
      <w:r w:rsidR="00C45589">
        <w:rPr>
          <w:rFonts w:ascii="Arial" w:hAnsi="Arial" w:cs="Arial"/>
          <w:sz w:val="21"/>
          <w:szCs w:val="21"/>
        </w:rPr>
        <w:t xml:space="preserve"> </w:t>
      </w:r>
      <w:r w:rsidR="00513B27" w:rsidRPr="00513B27">
        <w:rPr>
          <w:rFonts w:ascii="Arial" w:hAnsi="Arial" w:cs="Arial"/>
          <w:sz w:val="21"/>
          <w:szCs w:val="21"/>
        </w:rPr>
        <w:t xml:space="preserve">to obtain an SPC token </w:t>
      </w:r>
      <w:r w:rsidR="006A32F8">
        <w:rPr>
          <w:rFonts w:ascii="Arial" w:hAnsi="Arial" w:cs="Arial"/>
          <w:sz w:val="21"/>
          <w:szCs w:val="21"/>
        </w:rPr>
        <w:t xml:space="preserve">authorizing the </w:t>
      </w:r>
      <w:r w:rsidR="00D51A06">
        <w:rPr>
          <w:rFonts w:ascii="Arial" w:hAnsi="Arial" w:cs="Arial"/>
          <w:sz w:val="21"/>
          <w:szCs w:val="21"/>
        </w:rPr>
        <w:t>STI Participant</w:t>
      </w:r>
      <w:r w:rsidR="00C45589">
        <w:rPr>
          <w:rFonts w:ascii="Arial" w:hAnsi="Arial" w:cs="Arial"/>
          <w:sz w:val="21"/>
          <w:szCs w:val="21"/>
        </w:rPr>
        <w:t xml:space="preserve"> t</w:t>
      </w:r>
      <w:r w:rsidR="006A32F8">
        <w:rPr>
          <w:rFonts w:ascii="Arial" w:hAnsi="Arial" w:cs="Arial"/>
          <w:sz w:val="21"/>
          <w:szCs w:val="21"/>
        </w:rPr>
        <w: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B287272" w:rsidR="00CB58BC" w:rsidRDefault="00FE0539">
      <w:pPr>
        <w:rPr>
          <w:rFonts w:ascii="Arial" w:hAnsi="Arial" w:cs="Arial"/>
          <w:sz w:val="21"/>
          <w:szCs w:val="21"/>
        </w:rPr>
      </w:pPr>
      <w:r>
        <w:rPr>
          <w:rFonts w:ascii="Arial" w:hAnsi="Arial" w:cs="Arial"/>
          <w:noProof/>
          <w:sz w:val="21"/>
          <w:szCs w:val="21"/>
        </w:rPr>
        <w:drawing>
          <wp:inline distT="0" distB="0" distL="0" distR="0" wp14:anchorId="031CDD88" wp14:editId="6878CF22">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6F55CB97" w:rsidR="00B132E5" w:rsidRDefault="00B132E5" w:rsidP="00B132E5">
      <w:pPr>
        <w:rPr>
          <w:rFonts w:ascii="Arial" w:hAnsi="Arial" w:cs="Arial"/>
          <w:sz w:val="21"/>
          <w:szCs w:val="21"/>
        </w:rPr>
      </w:pPr>
      <w:r>
        <w:rPr>
          <w:rFonts w:ascii="Arial" w:hAnsi="Arial" w:cs="Arial"/>
          <w:sz w:val="21"/>
          <w:szCs w:val="21"/>
        </w:rPr>
        <w:t>As described in ATIS-100009</w:t>
      </w:r>
      <w:r w:rsidR="00175300">
        <w:rPr>
          <w:rFonts w:ascii="Arial" w:hAnsi="Arial" w:cs="Arial"/>
          <w:sz w:val="21"/>
          <w:szCs w:val="21"/>
        </w:rPr>
        <w:t>2 [Ref 3</w:t>
      </w:r>
      <w:r>
        <w:rPr>
          <w:rFonts w:ascii="Arial" w:hAnsi="Arial" w:cs="Arial"/>
          <w:sz w:val="21"/>
          <w:szCs w:val="21"/>
        </w:rPr>
        <w:t>],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w:t>
      </w:r>
      <w:r w:rsidR="00BD5561">
        <w:rPr>
          <w:rFonts w:ascii="Arial" w:hAnsi="Arial" w:cs="Arial"/>
          <w:sz w:val="21"/>
          <w:szCs w:val="21"/>
        </w:rPr>
        <w:t>i</w:t>
      </w:r>
      <w:r>
        <w:rPr>
          <w:rFonts w:ascii="Arial" w:hAnsi="Arial" w:cs="Arial"/>
          <w:sz w:val="21"/>
          <w:szCs w:val="21"/>
        </w:rPr>
        <w:t>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w:t>
      </w:r>
      <w:r w:rsidR="00D51A06">
        <w:rPr>
          <w:rFonts w:ascii="Arial" w:hAnsi="Arial" w:cs="Arial"/>
          <w:sz w:val="21"/>
          <w:szCs w:val="21"/>
        </w:rPr>
        <w:t>STI Participant</w:t>
      </w:r>
      <w:r w:rsidR="00270F54">
        <w:rPr>
          <w:rFonts w:ascii="Arial" w:hAnsi="Arial" w:cs="Arial"/>
          <w:sz w:val="21"/>
          <w:szCs w:val="21"/>
        </w:rPr>
        <w:t xml:space="preserve"> </w:t>
      </w:r>
      <w:r w:rsidRPr="00513B27">
        <w:rPr>
          <w:rFonts w:ascii="Arial" w:hAnsi="Arial" w:cs="Arial"/>
          <w:sz w:val="21"/>
          <w:szCs w:val="21"/>
        </w:rPr>
        <w:t xml:space="preserve">that has been approved to participate in the ecosystem.  </w:t>
      </w:r>
    </w:p>
    <w:p w14:paraId="01BEC456" w14:textId="0E7ED12A" w:rsidR="00C16C6B" w:rsidRDefault="00C16C6B" w:rsidP="00B132E5">
      <w:pPr>
        <w:rPr>
          <w:rFonts w:ascii="Arial" w:hAnsi="Arial" w:cs="Arial"/>
          <w:sz w:val="21"/>
          <w:szCs w:val="21"/>
        </w:rPr>
      </w:pPr>
    </w:p>
    <w:p w14:paraId="322AFB66" w14:textId="7C3A4C2F"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 xml:space="preserve">SCA.  </w:t>
      </w: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2176FA">
      <w:pPr>
        <w:pStyle w:val="Heading1"/>
      </w:pPr>
      <w:bookmarkStart w:id="75" w:name="_Toc31717730"/>
      <w:r w:rsidRPr="00EF6FBC">
        <w:t>Certificate Policy &amp; Certification Practice Statements</w:t>
      </w:r>
      <w:bookmarkEnd w:id="75"/>
      <w:r w:rsidRPr="00EF6FBC">
        <w:t xml:space="preserve"> </w:t>
      </w:r>
    </w:p>
    <w:p w14:paraId="7E40DF03" w14:textId="631BC712"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w:t>
      </w:r>
      <w:r w:rsidR="00C36662">
        <w:rPr>
          <w:rFonts w:ascii="Arial" w:hAnsi="Arial" w:cs="Arial"/>
          <w:sz w:val="20"/>
          <w:szCs w:val="20"/>
        </w:rPr>
        <w:lastRenderedPageBreak/>
        <w:t xml:space="preserve">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FFDA6DC"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w:t>
      </w:r>
      <w:r w:rsidR="00BD7F01">
        <w:rPr>
          <w:rFonts w:cs="Arial"/>
          <w:szCs w:val="20"/>
        </w:rPr>
        <w:t>0</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01D387FF"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w:t>
      </w:r>
      <w:r w:rsidR="00BD7F01">
        <w:rPr>
          <w:rFonts w:cs="Arial"/>
          <w:szCs w:val="20"/>
        </w:rPr>
        <w:t>1</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2192DA89"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C526D5">
        <w:rPr>
          <w:rFonts w:ascii="Arial" w:hAnsi="Arial" w:cs="Arial"/>
          <w:sz w:val="20"/>
          <w:szCs w:val="20"/>
        </w:rPr>
        <w:t>18</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5F93259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w:t>
      </w:r>
      <w:r w:rsidR="00270F54">
        <w:rPr>
          <w:rFonts w:ascii="Arial" w:hAnsi="Arial" w:cs="Arial"/>
          <w:sz w:val="20"/>
          <w:szCs w:val="20"/>
        </w:rPr>
        <w:t>STI Participant</w:t>
      </w:r>
      <w:r w:rsidRPr="006946D1">
        <w:rPr>
          <w:rFonts w:ascii="Arial" w:hAnsi="Arial" w:cs="Arial"/>
          <w:sz w:val="20"/>
          <w:szCs w:val="20"/>
        </w:rPr>
        <w:t xml:space="preserve">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 xml:space="preserve">are not issued if an entity does not have a valid </w:t>
      </w:r>
      <w:r w:rsidR="006068F6">
        <w:rPr>
          <w:rFonts w:ascii="Arial" w:hAnsi="Arial" w:cs="Arial"/>
          <w:sz w:val="20"/>
          <w:szCs w:val="20"/>
        </w:rPr>
        <w:t xml:space="preserve">SPC </w:t>
      </w:r>
      <w:r w:rsidRPr="006946D1">
        <w:rPr>
          <w:rFonts w:ascii="Arial" w:hAnsi="Arial" w:cs="Arial"/>
          <w:sz w:val="20"/>
          <w:szCs w:val="20"/>
        </w:rPr>
        <w:t>token</w:t>
      </w:r>
      <w:r w:rsidR="00C36662">
        <w:rPr>
          <w:rFonts w:ascii="Arial" w:hAnsi="Arial" w:cs="Arial"/>
          <w:sz w:val="20"/>
          <w:szCs w:val="20"/>
        </w:rPr>
        <w:t>.  The CP shall specify that delegate end entity certificates are only issued to VoIP entities in the case the entity has been authorized to use the TNs that are included in the TNAuthList in the CSR.</w:t>
      </w:r>
    </w:p>
    <w:p w14:paraId="6619B3EA" w14:textId="1A8A3447" w:rsidR="00EF6FBC" w:rsidRPr="00EF6FBC" w:rsidRDefault="00EF6FBC" w:rsidP="005B79F7">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73EEE2C7"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00175300">
        <w:rPr>
          <w:rFonts w:ascii="Arial" w:hAnsi="Arial" w:cs="Arial"/>
          <w:sz w:val="20"/>
          <w:szCs w:val="20"/>
        </w:rPr>
        <w:t xml:space="preserve"> [Ref 3]</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62C9F8B5"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w:t>
      </w:r>
      <w:r w:rsidR="00BD7F01">
        <w:rPr>
          <w:rFonts w:ascii="Arial" w:hAnsi="Arial" w:cs="Arial"/>
          <w:sz w:val="20"/>
          <w:szCs w:val="20"/>
        </w:rPr>
        <w:t>1</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38CF886A"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175300">
        <w:rPr>
          <w:rFonts w:ascii="Arial" w:hAnsi="Arial" w:cs="Arial"/>
          <w:sz w:val="20"/>
          <w:szCs w:val="20"/>
        </w:rPr>
        <w:t xml:space="preserve"> [Ref 3]</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2176FA">
      <w:pPr>
        <w:pStyle w:val="Heading1"/>
      </w:pPr>
      <w:bookmarkStart w:id="91" w:name="_Toc31717744"/>
      <w:r w:rsidRPr="0062353B">
        <w:t>Managing List of STI-CAs</w:t>
      </w:r>
      <w:bookmarkEnd w:id="91"/>
      <w:r w:rsidRPr="0062353B">
        <w:t xml:space="preserve"> </w:t>
      </w:r>
    </w:p>
    <w:p w14:paraId="766C6392" w14:textId="74A5109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w:t>
      </w:r>
      <w:r w:rsidR="00270F54">
        <w:rPr>
          <w:rFonts w:ascii="Arial" w:hAnsi="Arial" w:cs="Arial"/>
          <w:sz w:val="20"/>
          <w:szCs w:val="20"/>
        </w:rPr>
        <w:t>STI Participant</w:t>
      </w:r>
      <w:r w:rsidRPr="001A0EE0">
        <w:rPr>
          <w:rFonts w:ascii="Arial" w:hAnsi="Arial" w:cs="Arial"/>
          <w:sz w:val="20"/>
          <w:szCs w:val="20"/>
        </w:rPr>
        <w:t xml:space="preserve">s for use in verifying that the STI-CA that issued the certificate has been authorized by the STI-PA. </w:t>
      </w:r>
      <w:r w:rsidR="005B2F37">
        <w:rPr>
          <w:rFonts w:ascii="Arial" w:hAnsi="Arial" w:cs="Arial"/>
          <w:sz w:val="20"/>
          <w:szCs w:val="20"/>
        </w:rPr>
        <w:t xml:space="preserve">  </w:t>
      </w:r>
    </w:p>
    <w:p w14:paraId="3734CFB3" w14:textId="7B7A79BF"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w:t>
      </w:r>
      <w:r w:rsidR="00270F54">
        <w:rPr>
          <w:rFonts w:ascii="Arial" w:hAnsi="Arial" w:cs="Arial"/>
          <w:sz w:val="20"/>
          <w:szCs w:val="20"/>
        </w:rPr>
        <w:t>STI Participant</w:t>
      </w:r>
      <w:r w:rsidRPr="001A0EE0">
        <w:rPr>
          <w:rFonts w:ascii="Arial" w:hAnsi="Arial" w:cs="Arial"/>
          <w:sz w:val="20"/>
          <w:szCs w:val="20"/>
        </w:rPr>
        <w:t xml:space="preserve">’s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3F9D71BB"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526D5">
        <w:rPr>
          <w:rFonts w:ascii="Arial" w:hAnsi="Arial" w:cs="Arial"/>
          <w:sz w:val="20"/>
          <w:szCs w:val="20"/>
        </w:rPr>
        <w:t>5</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 xml:space="preserve">ef </w:t>
      </w:r>
      <w:r w:rsidR="00C526D5">
        <w:rPr>
          <w:rFonts w:ascii="Arial" w:hAnsi="Arial" w:cs="Arial"/>
          <w:sz w:val="20"/>
          <w:szCs w:val="20"/>
        </w:rPr>
        <w:t>17</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5FA7802C"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w:t>
      </w:r>
      <w:r w:rsidR="00175300">
        <w:t xml:space="preserve"> [Ref 7]</w:t>
      </w:r>
      <w:r w:rsidR="00B2635D">
        <w:t>.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249D8F32"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 xml:space="preserve">he </w:t>
      </w:r>
      <w:r w:rsidR="00270F54">
        <w:rPr>
          <w:rFonts w:cs="Arial"/>
          <w:szCs w:val="20"/>
        </w:rPr>
        <w:t>STI Participant</w:t>
      </w:r>
      <w:r w:rsidRPr="00F01FD6">
        <w:rPr>
          <w:rFonts w:cs="Arial"/>
          <w:szCs w:val="20"/>
        </w:rPr>
        <w:t xml:space="preserve">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37ED04C8"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w:t>
      </w:r>
      <w:r w:rsidR="00C526D5">
        <w:rPr>
          <w:rFonts w:cs="Arial"/>
          <w:szCs w:val="20"/>
        </w:rPr>
        <w:t>14</w:t>
      </w:r>
      <w:r w:rsidR="009156D5">
        <w:rPr>
          <w:rFonts w:cs="Arial"/>
          <w:szCs w:val="20"/>
        </w:rPr>
        <w:t xml:space="preserve">]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39C07926"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 xml:space="preserve">he </w:t>
      </w:r>
      <w:r w:rsidR="00D51A06">
        <w:rPr>
          <w:rFonts w:ascii="Arial" w:hAnsi="Arial" w:cs="Arial"/>
          <w:sz w:val="20"/>
          <w:szCs w:val="20"/>
        </w:rPr>
        <w:t>STI Participant</w:t>
      </w:r>
      <w:r w:rsidR="00270F54">
        <w:rPr>
          <w:rFonts w:ascii="Arial" w:hAnsi="Arial" w:cs="Arial"/>
          <w:sz w:val="20"/>
          <w:szCs w:val="20"/>
        </w:rPr>
        <w:t xml:space="preserve"> </w:t>
      </w:r>
      <w:r w:rsidR="00CC5DEF">
        <w:rPr>
          <w:rFonts w:ascii="Arial" w:hAnsi="Arial" w:cs="Arial"/>
          <w:sz w:val="20"/>
          <w:szCs w:val="20"/>
        </w:rPr>
        <w:t>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use a scheme other than “https” or a port other than 443.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w:t>
      </w:r>
      <w:r w:rsidR="00175300">
        <w:rPr>
          <w:rFonts w:ascii="Arial" w:hAnsi="Arial" w:cs="Arial"/>
          <w:sz w:val="20"/>
          <w:szCs w:val="20"/>
        </w:rPr>
        <w:t xml:space="preserve"> [Ref 7]</w:t>
      </w:r>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shall not dereference URLs if the host resolves to a special-purpose IP address described in RFC 6890</w:t>
      </w:r>
      <w:r w:rsidR="00C526D5">
        <w:rPr>
          <w:rFonts w:ascii="Arial" w:hAnsi="Arial" w:cs="Arial"/>
          <w:sz w:val="20"/>
          <w:szCs w:val="20"/>
        </w:rPr>
        <w:t xml:space="preserve"> [Ref 13]</w:t>
      </w:r>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appear to be part of a Server-Side Request Forgery (SSRF) attack. The </w:t>
      </w:r>
      <w:r w:rsidR="00270F54">
        <w:rPr>
          <w:rFonts w:ascii="Arial" w:hAnsi="Arial" w:cs="Arial"/>
          <w:sz w:val="20"/>
          <w:szCs w:val="20"/>
        </w:rPr>
        <w:t xml:space="preserve">STI Participant </w:t>
      </w:r>
      <w:r w:rsidR="00B2635D">
        <w:rPr>
          <w:rFonts w:ascii="Arial" w:hAnsi="Arial" w:cs="Arial"/>
          <w:sz w:val="20"/>
          <w:szCs w:val="20"/>
        </w:rPr>
        <w:t>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27F47AA7"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w:t>
      </w:r>
      <w:r w:rsidR="00C526D5">
        <w:rPr>
          <w:rFonts w:ascii="Arial" w:hAnsi="Arial" w:cs="Arial"/>
          <w:sz w:val="20"/>
          <w:szCs w:val="20"/>
        </w:rPr>
        <w:t>16</w:t>
      </w:r>
      <w:r w:rsidR="00B2635D">
        <w:rPr>
          <w:rFonts w:ascii="Arial" w:hAnsi="Arial" w:cs="Arial"/>
          <w:sz w:val="20"/>
          <w:szCs w:val="20"/>
        </w:rPr>
        <w:t>].</w:t>
      </w:r>
    </w:p>
    <w:p w14:paraId="53FE97B3" w14:textId="77777777" w:rsidR="00B2635D" w:rsidRDefault="00B2635D" w:rsidP="00F01FD6">
      <w:pPr>
        <w:jc w:val="both"/>
        <w:rPr>
          <w:rFonts w:ascii="Arial" w:hAnsi="Arial" w:cs="Arial"/>
          <w:sz w:val="20"/>
          <w:szCs w:val="20"/>
        </w:rPr>
      </w:pPr>
    </w:p>
    <w:p w14:paraId="223732CB" w14:textId="3F6E6CBC"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w:t>
      </w:r>
      <w:r w:rsidR="00270F54">
        <w:rPr>
          <w:rFonts w:ascii="Arial" w:hAnsi="Arial" w:cs="Arial"/>
          <w:sz w:val="20"/>
          <w:szCs w:val="20"/>
        </w:rPr>
        <w:t xml:space="preserve">STI Participant </w:t>
      </w:r>
      <w:r w:rsidR="00A7375D" w:rsidRPr="005000CF">
        <w:rPr>
          <w:rFonts w:ascii="Arial" w:hAnsi="Arial" w:cs="Arial"/>
          <w:sz w:val="20"/>
          <w:szCs w:val="20"/>
        </w:rPr>
        <w:t xml:space="preserve">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0A4E3FF7" w:rsidR="0062353B" w:rsidRPr="0062353B" w:rsidRDefault="0062353B" w:rsidP="002176FA">
      <w:pPr>
        <w:pStyle w:val="Heading1"/>
      </w:pPr>
      <w:bookmarkStart w:id="97" w:name="_Toc31717748"/>
      <w:r w:rsidRPr="0062353B">
        <w:t xml:space="preserve">STI-PA Administration of </w:t>
      </w:r>
      <w:r w:rsidR="00270F54">
        <w:t>STI Participant</w:t>
      </w:r>
      <w:r w:rsidRPr="0062353B">
        <w:t>s</w:t>
      </w:r>
      <w:bookmarkEnd w:id="97"/>
      <w:r w:rsidRPr="0062353B">
        <w:t xml:space="preserve"> </w:t>
      </w:r>
    </w:p>
    <w:p w14:paraId="3A23437F" w14:textId="610AA449"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w:t>
      </w:r>
      <w:r w:rsidR="00270F54">
        <w:rPr>
          <w:rFonts w:ascii="Arial" w:hAnsi="Arial" w:cs="Arial"/>
          <w:sz w:val="20"/>
          <w:szCs w:val="20"/>
        </w:rPr>
        <w:t>STI Participant</w:t>
      </w:r>
      <w:r w:rsidRPr="005000CF">
        <w:rPr>
          <w:rFonts w:ascii="Arial" w:hAnsi="Arial" w:cs="Arial"/>
          <w:sz w:val="20"/>
          <w:szCs w:val="20"/>
        </w:rPr>
        <w:t>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2FB93C81"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w:t>
      </w:r>
      <w:r w:rsidR="00270F54">
        <w:rPr>
          <w:rFonts w:ascii="Arial" w:hAnsi="Arial" w:cs="Arial"/>
          <w:sz w:val="20"/>
          <w:szCs w:val="20"/>
        </w:rPr>
        <w:t>STI Participant</w:t>
      </w:r>
      <w:r w:rsidRPr="005000CF">
        <w:rPr>
          <w:rFonts w:ascii="Arial" w:hAnsi="Arial" w:cs="Arial"/>
          <w:sz w:val="20"/>
          <w:szCs w:val="20"/>
        </w:rPr>
        <w:t>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w:t>
      </w:r>
      <w:r w:rsidR="00C16C6B">
        <w:rPr>
          <w:rFonts w:ascii="Arial" w:hAnsi="Arial" w:cs="Arial"/>
          <w:sz w:val="20"/>
          <w:szCs w:val="20"/>
        </w:rPr>
        <w:t>SP</w:t>
      </w:r>
      <w:r w:rsidR="006068F6">
        <w:rPr>
          <w:rFonts w:ascii="Arial" w:hAnsi="Arial" w:cs="Arial"/>
          <w:sz w:val="20"/>
          <w:szCs w:val="20"/>
        </w:rPr>
        <w:t>C</w:t>
      </w:r>
      <w:r w:rsidR="00C16C6B">
        <w:rPr>
          <w:rFonts w:ascii="Arial" w:hAnsi="Arial" w:cs="Arial"/>
          <w:sz w:val="20"/>
          <w:szCs w:val="20"/>
        </w:rPr>
        <w:t xml:space="preserve"> </w:t>
      </w:r>
      <w:r w:rsidRPr="005000CF">
        <w:rPr>
          <w:rFonts w:ascii="Arial" w:hAnsi="Arial" w:cs="Arial"/>
          <w:sz w:val="20"/>
          <w:szCs w:val="20"/>
        </w:rPr>
        <w:t xml:space="preserve">tokens to </w:t>
      </w:r>
      <w:r w:rsidR="00270F54">
        <w:rPr>
          <w:rFonts w:ascii="Arial" w:hAnsi="Arial" w:cs="Arial"/>
          <w:sz w:val="20"/>
          <w:szCs w:val="20"/>
        </w:rPr>
        <w:t>STI Participant</w:t>
      </w:r>
      <w:r w:rsidRPr="005000CF">
        <w:rPr>
          <w:rFonts w:ascii="Arial" w:hAnsi="Arial" w:cs="Arial"/>
          <w:sz w:val="20"/>
          <w:szCs w:val="20"/>
        </w:rPr>
        <w:t>s</w:t>
      </w:r>
      <w:r w:rsidR="00C16C6B">
        <w:rPr>
          <w:rFonts w:ascii="Arial" w:hAnsi="Arial" w:cs="Arial"/>
          <w:sz w:val="20"/>
          <w:szCs w:val="20"/>
        </w:rPr>
        <w:t xml:space="preserve"> authorizing an </w:t>
      </w:r>
      <w:r w:rsidR="00270F54">
        <w:rPr>
          <w:rFonts w:ascii="Arial" w:hAnsi="Arial" w:cs="Arial"/>
          <w:sz w:val="20"/>
          <w:szCs w:val="20"/>
        </w:rPr>
        <w:t xml:space="preserve">STI Participant </w:t>
      </w:r>
      <w:r w:rsidR="00C16C6B">
        <w:rPr>
          <w:rFonts w:ascii="Arial" w:hAnsi="Arial" w:cs="Arial"/>
          <w:sz w:val="20"/>
          <w:szCs w:val="20"/>
        </w:rPr>
        <w:t xml:space="preserve">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r w:rsidR="00175300">
        <w:rPr>
          <w:rFonts w:ascii="Arial" w:hAnsi="Arial" w:cs="Arial"/>
          <w:sz w:val="20"/>
          <w:szCs w:val="20"/>
        </w:rPr>
        <w:t xml:space="preserve"> [Ref 3]</w:t>
      </w:r>
      <w:r w:rsidR="00C16C6B">
        <w:rPr>
          <w:rFonts w:ascii="Arial" w:hAnsi="Arial" w:cs="Arial"/>
          <w:sz w:val="20"/>
          <w:szCs w:val="20"/>
        </w:rPr>
        <w:t>,</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 xml:space="preserve">the STI-PA also issues SPC tokens with an SPC value and “ca”=”true” in the TNAuthList.  These </w:t>
      </w:r>
      <w:r w:rsidR="006068F6">
        <w:rPr>
          <w:rFonts w:ascii="Arial" w:hAnsi="Arial" w:cs="Arial"/>
          <w:sz w:val="20"/>
          <w:szCs w:val="20"/>
        </w:rPr>
        <w:t xml:space="preserve">SPC </w:t>
      </w:r>
      <w:r w:rsidR="00C16C6B">
        <w:rPr>
          <w:rFonts w:ascii="Arial" w:hAnsi="Arial" w:cs="Arial"/>
          <w:sz w:val="20"/>
          <w:szCs w:val="20"/>
        </w:rPr>
        <w:t xml:space="preserve">tokens authorize </w:t>
      </w:r>
      <w:r w:rsidR="002176FA">
        <w:rPr>
          <w:rFonts w:ascii="Arial" w:hAnsi="Arial" w:cs="Arial"/>
          <w:sz w:val="20"/>
          <w:szCs w:val="20"/>
        </w:rPr>
        <w:t>a</w:t>
      </w:r>
      <w:r w:rsidR="00270F54">
        <w:rPr>
          <w:rFonts w:ascii="Arial" w:hAnsi="Arial" w:cs="Arial"/>
          <w:sz w:val="20"/>
          <w:szCs w:val="20"/>
        </w:rPr>
        <w:t>n STI Participant</w:t>
      </w:r>
      <w:r w:rsidR="00C16C6B">
        <w:rPr>
          <w:rFonts w:ascii="Arial" w:hAnsi="Arial" w:cs="Arial"/>
          <w:sz w:val="20"/>
          <w:szCs w:val="20"/>
        </w:rPr>
        <w:t xml:space="preserve">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w:t>
      </w:r>
      <w:r w:rsidR="006068F6">
        <w:rPr>
          <w:rFonts w:ascii="Arial" w:hAnsi="Arial" w:cs="Arial"/>
          <w:sz w:val="20"/>
          <w:szCs w:val="20"/>
        </w:rPr>
        <w:t xml:space="preserve">SPC </w:t>
      </w:r>
      <w:r w:rsidRPr="005000CF">
        <w:rPr>
          <w:rFonts w:ascii="Arial" w:hAnsi="Arial" w:cs="Arial"/>
          <w:sz w:val="20"/>
          <w:szCs w:val="20"/>
        </w:rPr>
        <w:t xml:space="preserve">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FE8A" w14:textId="77777777" w:rsidR="00AD00F3" w:rsidRDefault="00AD00F3">
      <w:r>
        <w:separator/>
      </w:r>
    </w:p>
  </w:endnote>
  <w:endnote w:type="continuationSeparator" w:id="0">
    <w:p w14:paraId="24733FCE" w14:textId="77777777" w:rsidR="00AD00F3" w:rsidRDefault="00AD00F3">
      <w:r>
        <w:continuationSeparator/>
      </w:r>
    </w:p>
  </w:endnote>
  <w:endnote w:type="continuationNotice" w:id="1">
    <w:p w14:paraId="26C36DCC" w14:textId="77777777" w:rsidR="00AD00F3" w:rsidRDefault="00AD0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6210" w14:textId="77777777" w:rsidR="00AD00F3" w:rsidRDefault="00AD00F3">
      <w:r>
        <w:separator/>
      </w:r>
    </w:p>
  </w:footnote>
  <w:footnote w:type="continuationSeparator" w:id="0">
    <w:p w14:paraId="5C087148" w14:textId="77777777" w:rsidR="00AD00F3" w:rsidRDefault="00AD00F3">
      <w:r>
        <w:continuationSeparator/>
      </w:r>
    </w:p>
  </w:footnote>
  <w:footnote w:type="continuationNotice" w:id="1">
    <w:p w14:paraId="45E8ABB1" w14:textId="77777777" w:rsidR="00AD00F3" w:rsidRDefault="00AD00F3"/>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4D10E6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446E"/>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5EF"/>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300"/>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6FA"/>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0F54"/>
    <w:rsid w:val="0027117A"/>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53D"/>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893"/>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068F6"/>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0192"/>
    <w:rsid w:val="007F20D7"/>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362"/>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1467"/>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A5B"/>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C7CB1"/>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1EB2"/>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3C7E"/>
    <w:rsid w:val="00A94A84"/>
    <w:rsid w:val="00A95A09"/>
    <w:rsid w:val="00A95CF2"/>
    <w:rsid w:val="00A968F7"/>
    <w:rsid w:val="00AA0139"/>
    <w:rsid w:val="00AA04B4"/>
    <w:rsid w:val="00AA0906"/>
    <w:rsid w:val="00AA0AD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00F3"/>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4D0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D7F01"/>
    <w:rsid w:val="00BE015E"/>
    <w:rsid w:val="00BE0619"/>
    <w:rsid w:val="00BE084F"/>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589"/>
    <w:rsid w:val="00C45725"/>
    <w:rsid w:val="00C457A2"/>
    <w:rsid w:val="00C45C62"/>
    <w:rsid w:val="00C50537"/>
    <w:rsid w:val="00C50859"/>
    <w:rsid w:val="00C518B6"/>
    <w:rsid w:val="00C526D5"/>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1A06"/>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39"/>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2176FA"/>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2176F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380372783">
      <w:bodyDiv w:val="1"/>
      <w:marLeft w:val="0"/>
      <w:marRight w:val="0"/>
      <w:marTop w:val="0"/>
      <w:marBottom w:val="0"/>
      <w:divBdr>
        <w:top w:val="none" w:sz="0" w:space="0" w:color="auto"/>
        <w:left w:val="none" w:sz="0" w:space="0" w:color="auto"/>
        <w:bottom w:val="none" w:sz="0" w:space="0" w:color="auto"/>
        <w:right w:val="none" w:sz="0" w:space="0" w:color="auto"/>
      </w:divBdr>
    </w:div>
    <w:div w:id="42246006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4650842">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798600588">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23</Pages>
  <Words>8175</Words>
  <Characters>46598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mhbarnes_99 mhbarnes_99</cp:lastModifiedBy>
  <cp:revision>3</cp:revision>
  <cp:lastPrinted>2017-02-18T02:24:00Z</cp:lastPrinted>
  <dcterms:created xsi:type="dcterms:W3CDTF">2023-02-08T17:31:00Z</dcterms:created>
  <dcterms:modified xsi:type="dcterms:W3CDTF">2023-02-08T17:36:00Z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