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00000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2BE993C1"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0B98229F" w:rsidR="00B132E5" w:rsidRDefault="00B132E5" w:rsidP="00B132E5">
      <w:pPr>
        <w:rPr>
          <w:rFonts w:ascii="Arial" w:hAnsi="Arial" w:cs="Arial"/>
          <w:sz w:val="21"/>
          <w:szCs w:val="21"/>
        </w:rPr>
      </w:pPr>
      <w:r>
        <w:rPr>
          <w:rFonts w:ascii="Arial" w:hAnsi="Arial" w:cs="Arial"/>
          <w:sz w:val="21"/>
          <w:szCs w:val="21"/>
        </w:rPr>
        <w:t>As described in [ATIS-1000092],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01BEC456" w14:textId="0E7ED12A" w:rsidR="00C16C6B" w:rsidRDefault="00C16C6B" w:rsidP="00B132E5">
      <w:pPr>
        <w:rPr>
          <w:rFonts w:ascii="Arial" w:hAnsi="Arial" w:cs="Arial"/>
          <w:sz w:val="21"/>
          <w:szCs w:val="21"/>
        </w:rPr>
      </w:pPr>
    </w:p>
    <w:p w14:paraId="322AFB66" w14:textId="57101A4B"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del w:id="75" w:author="MLH Barnes" w:date="2022-06-27T16:26:00Z">
        <w:r w:rsidR="00C36662" w:rsidDel="008D4F8C">
          <w:rPr>
            <w:rFonts w:ascii="Arial" w:hAnsi="Arial" w:cs="Arial"/>
            <w:sz w:val="21"/>
            <w:szCs w:val="21"/>
          </w:rPr>
          <w:delText xml:space="preserve">In this case the SPC Token used to authorize the issuance of the CA certificate contains TNAuthList with a CA Boolean of “true” and TNs, defining the TNs for which the </w:delText>
        </w:r>
        <w:r w:rsidR="00B05D0C" w:rsidDel="008D4F8C">
          <w:rPr>
            <w:rFonts w:ascii="Arial" w:hAnsi="Arial" w:cs="Arial"/>
            <w:sz w:val="21"/>
            <w:szCs w:val="21"/>
          </w:rPr>
          <w:delText>V-SCA</w:delText>
        </w:r>
        <w:r w:rsidR="00C36662" w:rsidDel="008D4F8C">
          <w:rPr>
            <w:rFonts w:ascii="Arial" w:hAnsi="Arial" w:cs="Arial"/>
            <w:sz w:val="21"/>
            <w:szCs w:val="21"/>
          </w:rPr>
          <w:delText xml:space="preserve"> is authorized to issue delegate end entity certificates.   </w:delText>
        </w:r>
      </w:del>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SCA</w:t>
      </w:r>
      <w:ins w:id="76" w:author="MLH Barnes" w:date="2022-06-27T16:26:00Z">
        <w:r w:rsidR="008D4F8C">
          <w:rPr>
            <w:rFonts w:ascii="Arial" w:hAnsi="Arial" w:cs="Arial"/>
            <w:sz w:val="21"/>
            <w:szCs w:val="21"/>
          </w:rPr>
          <w:t xml:space="preserve">.  Note that the scope </w:t>
        </w:r>
      </w:ins>
      <w:ins w:id="77" w:author="MLH Barnes" w:date="2022-06-27T16:31:00Z">
        <w:r w:rsidR="008D4F8C">
          <w:rPr>
            <w:rFonts w:ascii="Arial" w:hAnsi="Arial" w:cs="Arial"/>
            <w:sz w:val="21"/>
            <w:szCs w:val="21"/>
          </w:rPr>
          <w:t>of</w:t>
        </w:r>
      </w:ins>
      <w:ins w:id="78" w:author="MLH Barnes" w:date="2022-06-27T16:26:00Z">
        <w:r w:rsidR="008D4F8C">
          <w:rPr>
            <w:rFonts w:ascii="Arial" w:hAnsi="Arial" w:cs="Arial"/>
            <w:sz w:val="21"/>
            <w:szCs w:val="21"/>
          </w:rPr>
          <w:t xml:space="preserve"> each of the</w:t>
        </w:r>
      </w:ins>
      <w:ins w:id="79" w:author="MLH Barnes" w:date="2022-06-27T16:27:00Z">
        <w:r w:rsidR="008D4F8C">
          <w:rPr>
            <w:rFonts w:ascii="Arial" w:hAnsi="Arial" w:cs="Arial"/>
            <w:sz w:val="21"/>
            <w:szCs w:val="21"/>
          </w:rPr>
          <w:t xml:space="preserve">se </w:t>
        </w:r>
      </w:ins>
      <w:ins w:id="80" w:author="MLH Barnes" w:date="2022-06-27T17:01:00Z">
        <w:r w:rsidR="00F47D8B">
          <w:rPr>
            <w:rFonts w:ascii="Arial" w:hAnsi="Arial" w:cs="Arial"/>
            <w:sz w:val="21"/>
            <w:szCs w:val="21"/>
          </w:rPr>
          <w:t>V-SCA</w:t>
        </w:r>
      </w:ins>
      <w:ins w:id="81" w:author="MLH Barnes" w:date="2022-06-27T16:27:00Z">
        <w:r w:rsidR="008D4F8C">
          <w:rPr>
            <w:rFonts w:ascii="Arial" w:hAnsi="Arial" w:cs="Arial"/>
            <w:sz w:val="21"/>
            <w:szCs w:val="21"/>
          </w:rPr>
          <w:t xml:space="preserve"> certificates is the same</w:t>
        </w:r>
      </w:ins>
      <w:ins w:id="82" w:author="MLH Barnes" w:date="2022-06-27T16:28:00Z">
        <w:r w:rsidR="008D4F8C">
          <w:rPr>
            <w:rFonts w:ascii="Arial" w:hAnsi="Arial" w:cs="Arial"/>
            <w:sz w:val="21"/>
            <w:szCs w:val="21"/>
          </w:rPr>
          <w:t xml:space="preserve"> as </w:t>
        </w:r>
      </w:ins>
      <w:ins w:id="83" w:author="MLH Barnes" w:date="2022-06-27T16:31:00Z">
        <w:r w:rsidR="008D4F8C">
          <w:rPr>
            <w:rFonts w:ascii="Arial" w:hAnsi="Arial" w:cs="Arial"/>
            <w:sz w:val="21"/>
            <w:szCs w:val="21"/>
          </w:rPr>
          <w:t>that of the</w:t>
        </w:r>
      </w:ins>
      <w:ins w:id="84" w:author="MLH Barnes" w:date="2022-06-27T16:27:00Z">
        <w:r w:rsidR="008D4F8C">
          <w:rPr>
            <w:rFonts w:ascii="Arial" w:hAnsi="Arial" w:cs="Arial"/>
            <w:sz w:val="21"/>
            <w:szCs w:val="21"/>
          </w:rPr>
          <w:t xml:space="preserve"> parent certi</w:t>
        </w:r>
      </w:ins>
      <w:ins w:id="85" w:author="MLH Barnes" w:date="2022-06-27T16:28:00Z">
        <w:r w:rsidR="008D4F8C">
          <w:rPr>
            <w:rFonts w:ascii="Arial" w:hAnsi="Arial" w:cs="Arial"/>
            <w:sz w:val="21"/>
            <w:szCs w:val="21"/>
          </w:rPr>
          <w:t>ficate</w:t>
        </w:r>
      </w:ins>
      <w:ins w:id="86" w:author="MLH Barnes" w:date="2022-06-27T16:31:00Z">
        <w:r w:rsidR="008D4F8C">
          <w:rPr>
            <w:rFonts w:ascii="Arial" w:hAnsi="Arial" w:cs="Arial"/>
            <w:sz w:val="21"/>
            <w:szCs w:val="21"/>
          </w:rPr>
          <w:t xml:space="preserve"> </w:t>
        </w:r>
      </w:ins>
      <w:ins w:id="87" w:author="MLH Barnes" w:date="2022-06-27T16:29:00Z">
        <w:r w:rsidR="008D4F8C">
          <w:rPr>
            <w:rFonts w:ascii="Arial" w:hAnsi="Arial" w:cs="Arial"/>
            <w:sz w:val="21"/>
            <w:szCs w:val="21"/>
          </w:rPr>
          <w:t>as defined In [ATIS-1000092]</w:t>
        </w:r>
      </w:ins>
      <w:ins w:id="88" w:author="MLH Barnes" w:date="2022-06-27T16:28:00Z">
        <w:r w:rsidR="008D4F8C">
          <w:rPr>
            <w:rFonts w:ascii="Arial" w:hAnsi="Arial" w:cs="Arial"/>
            <w:sz w:val="21"/>
            <w:szCs w:val="21"/>
          </w:rPr>
          <w:t>.</w:t>
        </w:r>
      </w:ins>
    </w:p>
    <w:p w14:paraId="68848035" w14:textId="2EC7A795" w:rsidR="00E0579C" w:rsidDel="008D4F8C" w:rsidRDefault="00DE61D0" w:rsidP="00B132E5">
      <w:pPr>
        <w:rPr>
          <w:del w:id="89" w:author="MLH Barnes" w:date="2022-06-27T16:28:00Z"/>
          <w:rFonts w:ascii="Arial" w:hAnsi="Arial" w:cs="Arial"/>
          <w:sz w:val="21"/>
          <w:szCs w:val="21"/>
        </w:rPr>
      </w:pPr>
      <w:del w:id="90" w:author="MLH Barnes" w:date="2022-06-27T16:28:00Z">
        <w:r w:rsidDel="008D4F8C">
          <w:rPr>
            <w:rFonts w:ascii="Arial" w:hAnsi="Arial" w:cs="Arial"/>
            <w:sz w:val="21"/>
            <w:szCs w:val="21"/>
          </w:rPr>
          <w:delText xml:space="preserve"> </w:delText>
        </w:r>
        <w:r w:rsidRPr="00DE61D0" w:rsidDel="008D4F8C">
          <w:rPr>
            <w:rFonts w:ascii="Arial" w:hAnsi="Arial" w:cs="Arial"/>
            <w:sz w:val="21"/>
            <w:szCs w:val="21"/>
            <w:highlight w:val="yellow"/>
          </w:rPr>
          <w:delText xml:space="preserve">Editor’s Note: </w:delText>
        </w:r>
        <w:r w:rsidR="00B05D0C" w:rsidDel="008D4F8C">
          <w:rPr>
            <w:rFonts w:ascii="Arial" w:hAnsi="Arial" w:cs="Arial"/>
            <w:sz w:val="21"/>
            <w:szCs w:val="21"/>
            <w:highlight w:val="yellow"/>
          </w:rPr>
          <w:delText>remove use of</w:delText>
        </w:r>
        <w:r w:rsidR="00316D3C" w:rsidRPr="00316D3C" w:rsidDel="008D4F8C">
          <w:rPr>
            <w:rFonts w:ascii="Arial" w:hAnsi="Arial" w:cs="Arial"/>
            <w:sz w:val="21"/>
            <w:szCs w:val="21"/>
            <w:highlight w:val="yellow"/>
          </w:rPr>
          <w:delText xml:space="preserve"> SPC Token</w:delText>
        </w:r>
        <w:r w:rsidR="00B05D0C" w:rsidDel="008D4F8C">
          <w:rPr>
            <w:rFonts w:ascii="Arial" w:hAnsi="Arial" w:cs="Arial"/>
            <w:sz w:val="21"/>
            <w:szCs w:val="21"/>
            <w:highlight w:val="yellow"/>
          </w:rPr>
          <w:delText xml:space="preserve"> for V-SCA.</w:delText>
        </w:r>
        <w:r w:rsidR="00316D3C" w:rsidRPr="00D30EFC" w:rsidDel="008D4F8C">
          <w:rPr>
            <w:rFonts w:ascii="Arial" w:hAnsi="Arial" w:cs="Arial"/>
            <w:sz w:val="21"/>
            <w:szCs w:val="21"/>
            <w:highlight w:val="yellow"/>
          </w:rPr>
          <w:delText xml:space="preserve"> There is no TNAuthList in the </w:delText>
        </w:r>
        <w:r w:rsidR="00B05D0C" w:rsidDel="008D4F8C">
          <w:rPr>
            <w:rFonts w:ascii="Arial" w:hAnsi="Arial" w:cs="Arial"/>
            <w:sz w:val="21"/>
            <w:szCs w:val="21"/>
            <w:highlight w:val="yellow"/>
          </w:rPr>
          <w:delText>V-S</w:delText>
        </w:r>
        <w:r w:rsidR="00CC24B5" w:rsidDel="008D4F8C">
          <w:rPr>
            <w:rFonts w:ascii="Arial" w:hAnsi="Arial" w:cs="Arial"/>
            <w:sz w:val="21"/>
            <w:szCs w:val="21"/>
            <w:highlight w:val="yellow"/>
          </w:rPr>
          <w:delText>C</w:delText>
        </w:r>
        <w:r w:rsidR="00316D3C" w:rsidRPr="00D30EFC" w:rsidDel="008D4F8C">
          <w:rPr>
            <w:rFonts w:ascii="Arial" w:hAnsi="Arial" w:cs="Arial"/>
            <w:sz w:val="21"/>
            <w:szCs w:val="21"/>
            <w:highlight w:val="yellow"/>
          </w:rPr>
          <w:delText>A.</w:delText>
        </w:r>
      </w:del>
    </w:p>
    <w:p w14:paraId="4B5D9103" w14:textId="3C74CA5C" w:rsidR="00560D33" w:rsidDel="008D4F8C" w:rsidRDefault="00560D33">
      <w:pPr>
        <w:rPr>
          <w:del w:id="91" w:author="MLH Barnes" w:date="2022-06-27T16:28:00Z"/>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92" w:name="_Toc31717730"/>
      <w:r w:rsidRPr="00EF6FBC">
        <w:t>Certificate Policy &amp; Certification Practice Statements</w:t>
      </w:r>
      <w:bookmarkEnd w:id="92"/>
      <w:r w:rsidRPr="00EF6FBC">
        <w:t xml:space="preserve"> </w:t>
      </w:r>
    </w:p>
    <w:p w14:paraId="7E40DF03" w14:textId="631BC712" w:rsidR="00EF6FBC" w:rsidRPr="002A5C6E" w:rsidRDefault="00EF6FBC" w:rsidP="00CB2034">
      <w:pPr>
        <w:jc w:val="both"/>
        <w:rPr>
          <w:rFonts w:ascii="Arial" w:hAnsi="Arial" w:cs="Arial"/>
          <w:sz w:val="20"/>
          <w:szCs w:val="20"/>
        </w:rPr>
      </w:pPr>
      <w:bookmarkStart w:id="93" w:name="_Ref341714928"/>
      <w:bookmarkStart w:id="94"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w:t>
      </w:r>
      <w:r w:rsidRPr="002A5C6E">
        <w:rPr>
          <w:rFonts w:ascii="Arial" w:hAnsi="Arial" w:cs="Arial"/>
          <w:sz w:val="20"/>
          <w:szCs w:val="20"/>
        </w:rPr>
        <w:lastRenderedPageBreak/>
        <w:t>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95" w:name="_Toc31717731"/>
      <w:bookmarkEnd w:id="93"/>
      <w:r>
        <w:t>Certificate Policy</w:t>
      </w:r>
      <w:bookmarkEnd w:id="95"/>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96" w:name="_Toc31717732"/>
      <w:r w:rsidRPr="00EF6FBC">
        <w:t>Introduction</w:t>
      </w:r>
      <w:bookmarkEnd w:id="96"/>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97" w:name="_Toc31717733"/>
      <w:r w:rsidRPr="00EF6FBC">
        <w:t>Publication and Repository Responsibilities</w:t>
      </w:r>
      <w:bookmarkEnd w:id="97"/>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98" w:name="_Toc31717734"/>
      <w:r w:rsidRPr="00EF6FBC">
        <w:t>Identification and Authentication</w:t>
      </w:r>
      <w:bookmarkEnd w:id="98"/>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99" w:name="_Toc31717735"/>
      <w:r w:rsidRPr="00EF6FBC">
        <w:t>Certificate Life-Cycle Operational Requirements.</w:t>
      </w:r>
      <w:bookmarkEnd w:id="99"/>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6952E90C"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w:t>
      </w:r>
      <w:r w:rsidR="00C36662">
        <w:rPr>
          <w:rFonts w:ascii="Arial" w:hAnsi="Arial" w:cs="Arial"/>
          <w:sz w:val="20"/>
          <w:szCs w:val="20"/>
        </w:rPr>
        <w:t xml:space="preserve">VoIP entities.  The CP shall specify that STI-certificates and CA </w:t>
      </w:r>
      <w:r w:rsidRPr="006946D1">
        <w:rPr>
          <w:rFonts w:ascii="Arial" w:hAnsi="Arial" w:cs="Arial"/>
          <w:sz w:val="20"/>
          <w:szCs w:val="20"/>
        </w:rPr>
        <w:t xml:space="preserve">certificates </w:t>
      </w:r>
      <w:ins w:id="100" w:author="MLH Barnes" w:date="2022-06-27T16:53:00Z">
        <w:r w:rsidR="005B79F7">
          <w:rPr>
            <w:rFonts w:ascii="Arial" w:hAnsi="Arial" w:cs="Arial"/>
            <w:sz w:val="20"/>
            <w:szCs w:val="20"/>
          </w:rPr>
          <w:t>f</w:t>
        </w:r>
      </w:ins>
      <w:del w:id="101" w:author="MLH Barnes" w:date="2022-06-27T16:53:00Z">
        <w:r w:rsidR="00C36662" w:rsidDel="005B79F7">
          <w:rPr>
            <w:rFonts w:ascii="Arial" w:hAnsi="Arial" w:cs="Arial"/>
            <w:sz w:val="20"/>
            <w:szCs w:val="20"/>
          </w:rPr>
          <w:delText>(f</w:delText>
        </w:r>
      </w:del>
      <w:r w:rsidR="00C36662">
        <w:rPr>
          <w:rFonts w:ascii="Arial" w:hAnsi="Arial" w:cs="Arial"/>
          <w:sz w:val="20"/>
          <w:szCs w:val="20"/>
        </w:rPr>
        <w:t xml:space="preserve">or STI-SCAs </w:t>
      </w:r>
      <w:del w:id="102" w:author="MLH Barnes" w:date="2022-06-27T16:53:00Z">
        <w:r w:rsidR="00C36662" w:rsidDel="005B79F7">
          <w:rPr>
            <w:rFonts w:ascii="Arial" w:hAnsi="Arial" w:cs="Arial"/>
            <w:sz w:val="20"/>
            <w:szCs w:val="20"/>
          </w:rPr>
          <w:delText xml:space="preserve">and </w:delText>
        </w:r>
        <w:r w:rsidR="00B05D0C" w:rsidDel="005B79F7">
          <w:rPr>
            <w:rFonts w:ascii="Arial" w:hAnsi="Arial" w:cs="Arial"/>
            <w:sz w:val="20"/>
            <w:szCs w:val="20"/>
          </w:rPr>
          <w:delText>V-S</w:delText>
        </w:r>
        <w:r w:rsidR="00C36662" w:rsidDel="005B79F7">
          <w:rPr>
            <w:rFonts w:ascii="Arial" w:hAnsi="Arial" w:cs="Arial"/>
            <w:sz w:val="20"/>
            <w:szCs w:val="20"/>
          </w:rPr>
          <w:delText xml:space="preserve">CAs) </w:delText>
        </w:r>
      </w:del>
      <w:r w:rsidRPr="006946D1">
        <w:rPr>
          <w:rFonts w:ascii="Arial" w:hAnsi="Arial" w:cs="Arial"/>
          <w:sz w:val="20"/>
          <w:szCs w:val="20"/>
        </w:rPr>
        <w:t>are not issued if an entity does not have a valid Service Provide Code token</w:t>
      </w:r>
      <w:r w:rsidR="00C36662">
        <w:rPr>
          <w:rFonts w:ascii="Arial" w:hAnsi="Arial" w:cs="Arial"/>
          <w:sz w:val="20"/>
          <w:szCs w:val="20"/>
        </w:rPr>
        <w:t xml:space="preserve">.  The CP shall specify that delegate end entity certificates are only issued to VoIP </w:t>
      </w:r>
      <w:r w:rsidR="00C36662">
        <w:rPr>
          <w:rFonts w:ascii="Arial" w:hAnsi="Arial" w:cs="Arial"/>
          <w:sz w:val="20"/>
          <w:szCs w:val="20"/>
        </w:rPr>
        <w:lastRenderedPageBreak/>
        <w:t xml:space="preserve">entities in the case the entity has been authorized to use the TNs that are included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or by reference in the CSR.</w:t>
      </w:r>
      <w:del w:id="103" w:author="MLH Barnes" w:date="2022-06-27T17:01:00Z">
        <w:r w:rsidR="00725A9A" w:rsidDel="00F47D8B">
          <w:rPr>
            <w:rFonts w:ascii="Arial" w:hAnsi="Arial" w:cs="Arial"/>
            <w:sz w:val="20"/>
            <w:szCs w:val="20"/>
          </w:rPr>
          <w:delText xml:space="preserve"> </w:delText>
        </w:r>
        <w:r w:rsidR="00725A9A" w:rsidRPr="00B05D0C" w:rsidDel="00F47D8B">
          <w:rPr>
            <w:rFonts w:ascii="Arial" w:hAnsi="Arial" w:cs="Arial"/>
            <w:sz w:val="20"/>
            <w:szCs w:val="20"/>
            <w:highlight w:val="yellow"/>
          </w:rPr>
          <w:delText>Editor’s</w:delText>
        </w:r>
      </w:del>
      <w:del w:id="104" w:author="MLH Barnes" w:date="2022-06-27T17:00:00Z">
        <w:r w:rsidR="00725A9A" w:rsidRPr="00B05D0C" w:rsidDel="00F47D8B">
          <w:rPr>
            <w:rFonts w:ascii="Arial" w:hAnsi="Arial" w:cs="Arial"/>
            <w:sz w:val="20"/>
            <w:szCs w:val="20"/>
            <w:highlight w:val="yellow"/>
          </w:rPr>
          <w:delText xml:space="preserve"> Note: </w:delText>
        </w:r>
        <w:r w:rsidR="00725A9A" w:rsidDel="00F47D8B">
          <w:rPr>
            <w:rFonts w:ascii="Arial" w:hAnsi="Arial" w:cs="Arial"/>
            <w:sz w:val="20"/>
            <w:szCs w:val="20"/>
            <w:highlight w:val="yellow"/>
          </w:rPr>
          <w:delText xml:space="preserve">make sure </w:delText>
        </w:r>
        <w:r w:rsidR="00725A9A" w:rsidRPr="00B05D0C" w:rsidDel="00F47D8B">
          <w:rPr>
            <w:rFonts w:ascii="Arial" w:hAnsi="Arial" w:cs="Arial"/>
            <w:sz w:val="20"/>
            <w:szCs w:val="20"/>
            <w:highlight w:val="yellow"/>
          </w:rPr>
          <w:delText>properly considers authorization for STI-SCA certificate</w:delText>
        </w:r>
      </w:del>
    </w:p>
    <w:p w14:paraId="6619B3EA" w14:textId="1A8A3447" w:rsidR="00EF6FBC" w:rsidRPr="00EF6FBC" w:rsidRDefault="00EF6FBC" w:rsidP="005B79F7">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2C03ED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issuing CAs</w:t>
      </w:r>
      <w:del w:id="105" w:author="MLH Barnes" w:date="2022-06-27T16:56:00Z">
        <w:r w:rsidR="00C36662" w:rsidDel="005B79F7">
          <w:rPr>
            <w:rFonts w:ascii="Arial" w:hAnsi="Arial" w:cs="Arial"/>
            <w:sz w:val="20"/>
            <w:szCs w:val="20"/>
          </w:rPr>
          <w:delText xml:space="preserve"> </w:delText>
        </w:r>
      </w:del>
      <w:r w:rsidR="00C36662">
        <w:rPr>
          <w:rFonts w:ascii="Arial" w:hAnsi="Arial" w:cs="Arial"/>
          <w:sz w:val="20"/>
          <w:szCs w:val="20"/>
        </w:rPr>
        <w:t xml:space="preserve">,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106" w:name="_Toc31717736"/>
      <w:r w:rsidRPr="00EF6FBC">
        <w:t>Facility, Management, and Operational Controls</w:t>
      </w:r>
      <w:bookmarkEnd w:id="106"/>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107" w:name="_Toc31717737"/>
      <w:r w:rsidRPr="00EF6FBC">
        <w:t>Technical Security Controls</w:t>
      </w:r>
      <w:bookmarkEnd w:id="107"/>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108" w:name="_Toc31717738"/>
      <w:r w:rsidRPr="00EF6FBC">
        <w:t xml:space="preserve">Certificate Profile </w:t>
      </w:r>
      <w:bookmarkEnd w:id="108"/>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109" w:name="_Toc31717739"/>
      <w:r w:rsidRPr="00EF6FBC">
        <w:t>Compliance Audit and Other Assessment</w:t>
      </w:r>
      <w:bookmarkEnd w:id="109"/>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110" w:name="_Toc31717740"/>
      <w:r w:rsidRPr="00EF6FBC">
        <w:t>Other Business and Legal Matters</w:t>
      </w:r>
      <w:bookmarkEnd w:id="110"/>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11" w:name="_Toc31717741"/>
      <w:r w:rsidRPr="00EF6FBC">
        <w:t>Certification</w:t>
      </w:r>
      <w:r>
        <w:t xml:space="preserve"> </w:t>
      </w:r>
      <w:r w:rsidRPr="00EF6FBC">
        <w:t>Practice</w:t>
      </w:r>
      <w:r>
        <w:t xml:space="preserve"> </w:t>
      </w:r>
      <w:r w:rsidRPr="00EF6FBC">
        <w:t>Statement</w:t>
      </w:r>
      <w:bookmarkEnd w:id="111"/>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112" w:name="_Toc31717742"/>
      <w:r w:rsidRPr="00EF6FBC">
        <w:t>Introduction</w:t>
      </w:r>
      <w:bookmarkEnd w:id="112"/>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113" w:name="_Toc31717743"/>
      <w:r w:rsidRPr="00EF6FBC">
        <w:t>Policy Administration</w:t>
      </w:r>
      <w:bookmarkEnd w:id="113"/>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114" w:name="_Toc31717744"/>
      <w:r w:rsidRPr="0062353B">
        <w:t>Managing List of STI-CAs</w:t>
      </w:r>
      <w:bookmarkEnd w:id="114"/>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115"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115"/>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16" w:name="_Toc31717745"/>
      <w:r w:rsidRPr="00976F1B">
        <w:t>Distributing Trusted STI-CA List</w:t>
      </w:r>
      <w:bookmarkEnd w:id="116"/>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117" w:name="_Ref29828140"/>
      <w:bookmarkStart w:id="118"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117"/>
      <w:bookmarkEnd w:id="118"/>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spellStart"/>
      <w:r w:rsidR="00B2635D">
        <w:t>pem</w:t>
      </w:r>
      <w:proofErr w:type="spell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w:t>
      </w:r>
      <w:r w:rsidRPr="00A7375D">
        <w:rPr>
          <w:rFonts w:ascii="Courier New" w:hAnsi="Courier New" w:cs="Courier New"/>
          <w:color w:val="000000"/>
          <w:szCs w:val="20"/>
        </w:rPr>
        <w:lastRenderedPageBreak/>
        <w:t xml:space="preserve">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A27A32F"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19"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19"/>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120" w:name="_Toc31717748"/>
      <w:r w:rsidRPr="0062353B">
        <w:t>STI-PA Administration of Service Providers</w:t>
      </w:r>
      <w:bookmarkEnd w:id="120"/>
      <w:r w:rsidRPr="0062353B">
        <w:t xml:space="preserve"> </w:t>
      </w:r>
    </w:p>
    <w:p w14:paraId="3A23437F" w14:textId="33FB79A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commentRangeStart w:id="121"/>
      <w:del w:id="122" w:author="MLH Barnes" w:date="2022-06-27T16:57:00Z">
        <w:r w:rsidRPr="005000CF" w:rsidDel="00F47D8B">
          <w:rPr>
            <w:rFonts w:ascii="Arial" w:hAnsi="Arial" w:cs="Arial"/>
            <w:sz w:val="20"/>
            <w:szCs w:val="20"/>
          </w:rPr>
          <w:delText xml:space="preserve">The STI-PA defines a mechanism to periodically validate/renew the Service Provider Codes in this list. </w:delText>
        </w:r>
        <w:commentRangeEnd w:id="121"/>
        <w:r w:rsidR="00C16C6B" w:rsidDel="00F47D8B">
          <w:rPr>
            <w:rStyle w:val="CommentReference"/>
            <w:rFonts w:ascii="Arial" w:eastAsia="Times New Roman" w:hAnsi="Arial" w:cs="Times New Roman"/>
          </w:rPr>
          <w:commentReference w:id="121"/>
        </w:r>
      </w:del>
    </w:p>
    <w:p w14:paraId="75E12019" w14:textId="3E9F704E"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w:t>
      </w:r>
      <w:r w:rsidRPr="00CD1357">
        <w:rPr>
          <w:rFonts w:ascii="Arial" w:hAnsi="Arial" w:cs="Arial"/>
          <w:i/>
          <w:iCs/>
          <w:sz w:val="20"/>
          <w:szCs w:val="20"/>
        </w:rPr>
        <w:lastRenderedPageBreak/>
        <w:t xml:space="preserve">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Service Provider Code </w:t>
      </w:r>
      <w:r w:rsidR="00C16C6B">
        <w:rPr>
          <w:rFonts w:ascii="Arial" w:hAnsi="Arial" w:cs="Arial"/>
          <w:sz w:val="20"/>
          <w:szCs w:val="20"/>
        </w:rPr>
        <w:t xml:space="preserve">(SPC) </w:t>
      </w:r>
      <w:r w:rsidRPr="005000CF">
        <w:rPr>
          <w:rFonts w:ascii="Arial" w:hAnsi="Arial" w:cs="Arial"/>
          <w:sz w:val="20"/>
          <w:szCs w:val="20"/>
        </w:rPr>
        <w:t>tokens to Service Providers</w:t>
      </w:r>
      <w:r w:rsidR="00C16C6B">
        <w:rPr>
          <w:rFonts w:ascii="Arial" w:hAnsi="Arial" w:cs="Arial"/>
          <w:sz w:val="20"/>
          <w:szCs w:val="20"/>
        </w:rPr>
        <w:t xml:space="preserve"> authorizing an SP 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  Per ATIS-1000092,</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the STI-PA also issues SPC tokens with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  These Service Provider Code tokens authorize a Service Provider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94"/>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MLH Barnes" w:date="2022-05-25T15:23:00Z" w:initials="MLHB">
    <w:p w14:paraId="0AD31F13" w14:textId="6C5A8594" w:rsidR="00C16C6B" w:rsidRDefault="00C16C6B">
      <w:pPr>
        <w:pStyle w:val="CommentText"/>
      </w:pPr>
      <w:r>
        <w:rPr>
          <w:rStyle w:val="CommentReference"/>
        </w:rPr>
        <w:annotationRef/>
      </w:r>
      <w:r>
        <w:t xml:space="preserve">I don’t think this actually happens, so maybe we should just delete?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D31F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C854" w16cex:dateUtc="2022-05-25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31F13" w16cid:durableId="2638C8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6530" w14:textId="77777777" w:rsidR="00B7239D" w:rsidRDefault="00B7239D">
      <w:r>
        <w:separator/>
      </w:r>
    </w:p>
  </w:endnote>
  <w:endnote w:type="continuationSeparator" w:id="0">
    <w:p w14:paraId="410437A3" w14:textId="77777777" w:rsidR="00B7239D" w:rsidRDefault="00B7239D">
      <w:r>
        <w:continuationSeparator/>
      </w:r>
    </w:p>
  </w:endnote>
  <w:endnote w:type="continuationNotice" w:id="1">
    <w:p w14:paraId="310B3066" w14:textId="77777777" w:rsidR="00B7239D" w:rsidRDefault="00B72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78B2" w14:textId="77777777" w:rsidR="00B7239D" w:rsidRDefault="00B7239D">
      <w:r>
        <w:separator/>
      </w:r>
    </w:p>
  </w:footnote>
  <w:footnote w:type="continuationSeparator" w:id="0">
    <w:p w14:paraId="28908A28" w14:textId="77777777" w:rsidR="00B7239D" w:rsidRDefault="00B7239D">
      <w:r>
        <w:continuationSeparator/>
      </w:r>
    </w:p>
  </w:footnote>
  <w:footnote w:type="continuationNotice" w:id="1">
    <w:p w14:paraId="407C160A" w14:textId="77777777" w:rsidR="00B7239D" w:rsidRDefault="00B7239D"/>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62"/>
    <w:rsid w:val="00C366CE"/>
    <w:rsid w:val="00C370F5"/>
    <w:rsid w:val="00C4025E"/>
    <w:rsid w:val="00C41F12"/>
    <w:rsid w:val="00C422FE"/>
    <w:rsid w:val="00C42C55"/>
    <w:rsid w:val="00C43A6B"/>
    <w:rsid w:val="00C44A7A"/>
    <w:rsid w:val="00C44F39"/>
    <w:rsid w:val="00C45725"/>
    <w:rsid w:val="00C457A2"/>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34</TotalTime>
  <Pages>23</Pages>
  <Words>8260</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MLH Barnes</cp:lastModifiedBy>
  <cp:revision>4</cp:revision>
  <cp:lastPrinted>2017-02-18T02:24:00Z</cp:lastPrinted>
  <dcterms:created xsi:type="dcterms:W3CDTF">2022-06-27T18:04:00Z</dcterms:created>
  <dcterms:modified xsi:type="dcterms:W3CDTF">2022-06-27T22:03:00Z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