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071ADFC"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proofErr w:type="spellStart"/>
      <w:r w:rsidR="00B7385B" w:rsidRPr="00956F73">
        <w:t>PASSporT</w:t>
      </w:r>
      <w:proofErr w:type="spellEnd"/>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29315041" w:rsidR="00DF3FE3" w:rsidRPr="00EE01B7" w:rsidRDefault="00DF3FE3" w:rsidP="00DF2A42">
      <w:pPr>
        <w:rPr>
          <w:highlight w:val="yellow"/>
        </w:rPr>
      </w:pPr>
      <w:r w:rsidRPr="00EE01B7">
        <w:rPr>
          <w:highlight w:val="yellow"/>
        </w:rPr>
        <w:t xml:space="preserve">Editor’s Note: global search on </w:t>
      </w:r>
      <w:r w:rsidR="00EE01B7" w:rsidRPr="00EE01B7">
        <w:rPr>
          <w:highlight w:val="yellow"/>
        </w:rPr>
        <w:t>.</w:t>
      </w:r>
      <w:proofErr w:type="spellStart"/>
      <w:r w:rsidR="00EE01B7" w:rsidRPr="00EE01B7">
        <w:rPr>
          <w:highlight w:val="yellow"/>
        </w:rPr>
        <w:t>cer</w:t>
      </w:r>
      <w:proofErr w:type="spellEnd"/>
      <w:r w:rsidR="00EE01B7" w:rsidRPr="00EE01B7">
        <w:rPr>
          <w:highlight w:val="yellow"/>
        </w:rPr>
        <w:t xml:space="preserve"> and change </w:t>
      </w:r>
      <w:proofErr w:type="gramStart"/>
      <w:r w:rsidR="00EE01B7" w:rsidRPr="00EE01B7">
        <w:rPr>
          <w:highlight w:val="yellow"/>
        </w:rPr>
        <w:t>to .</w:t>
      </w:r>
      <w:proofErr w:type="spellStart"/>
      <w:r w:rsidR="00EE01B7" w:rsidRPr="00EE01B7">
        <w:rPr>
          <w:highlight w:val="yellow"/>
        </w:rPr>
        <w:t>pem</w:t>
      </w:r>
      <w:proofErr w:type="spellEnd"/>
      <w:proofErr w:type="gramEnd"/>
    </w:p>
    <w:p w14:paraId="394A12C2" w14:textId="137DC7B8" w:rsidR="00EE01B7" w:rsidRDefault="00EE01B7" w:rsidP="00DF2A42">
      <w:r w:rsidRPr="00EE01B7">
        <w:rPr>
          <w:highlight w:val="yellow"/>
        </w:rPr>
        <w:t>Editor’s Note: confirm references to ATIS-1000080 for certificate profile</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 xml:space="preserve">a </w:t>
      </w:r>
      <w:proofErr w:type="spellStart"/>
      <w:r w:rsidR="0027186B" w:rsidRPr="0027186B">
        <w:t>PASSporT</w:t>
      </w:r>
      <w:proofErr w:type="spellEnd"/>
      <w:r w:rsidR="0027186B" w:rsidRPr="0027186B">
        <w:t xml:space="preserve">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w:t>
      </w:r>
      <w:proofErr w:type="spellStart"/>
      <w:r w:rsidR="00CB3F40">
        <w:t>PASSporT</w:t>
      </w:r>
      <w:proofErr w:type="spellEnd"/>
      <w:r w:rsidR="00CB3F40">
        <w:t xml:space="preserve">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w:t>
      </w:r>
      <w:proofErr w:type="spellStart"/>
      <w:r w:rsidR="0008237D" w:rsidRPr="00C509AE">
        <w:rPr>
          <w:rFonts w:cs="Arial"/>
        </w:rPr>
        <w:t>PASSporT</w:t>
      </w:r>
      <w:proofErr w:type="spellEnd"/>
      <w:r w:rsidR="0008237D" w:rsidRPr="00C509AE">
        <w:rPr>
          <w:rFonts w:cs="Arial"/>
        </w:rPr>
        <w:t xml:space="preserve"> (for example an RFC 8225 base </w:t>
      </w:r>
      <w:proofErr w:type="spellStart"/>
      <w:r w:rsidR="0008237D" w:rsidRPr="00C509AE">
        <w:rPr>
          <w:rFonts w:cs="Arial"/>
        </w:rPr>
        <w:t>PASSporT</w:t>
      </w:r>
      <w:proofErr w:type="spellEnd"/>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w:t>
      </w:r>
      <w:proofErr w:type="spellStart"/>
      <w:r w:rsidR="006E7789">
        <w:t>TNAuthList</w:t>
      </w:r>
      <w:proofErr w:type="spellEnd"/>
      <w:r w:rsidR="006E7789">
        <w:t xml:space="preserve"> of a delegate certificate can </w:t>
      </w:r>
      <w:r w:rsidR="000234BF">
        <w:t>con</w:t>
      </w:r>
      <w:r w:rsidR="006E7789">
        <w:t>tain one or more single TNs, and/or one or more TN ranges assigned to the certificate holder.</w:t>
      </w:r>
      <w:r w:rsidR="008C25A4">
        <w:t xml:space="preserve"> </w:t>
      </w:r>
      <w:r w:rsidR="005831C3" w:rsidRPr="005831C3">
        <w:t xml:space="preserve">As described in Clause 5.3.6, the </w:t>
      </w:r>
      <w:proofErr w:type="spellStart"/>
      <w:r w:rsidR="005831C3" w:rsidRPr="005831C3">
        <w:t>TNAuthList</w:t>
      </w:r>
      <w:proofErr w:type="spellEnd"/>
      <w:r w:rsidR="005831C3" w:rsidRPr="005831C3">
        <w:t xml:space="preserve">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65B64E18"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r w:rsidR="00D30CBC">
        <w:fldChar w:fldCharType="begin"/>
      </w:r>
      <w:r w:rsidR="00D30CBC">
        <w:instrText xml:space="preserve"> STYLEREF 1 \s </w:instrText>
      </w:r>
      <w:r w:rsidR="00D30CBC">
        <w:fldChar w:fldCharType="separate"/>
      </w:r>
      <w:r w:rsidR="00EB01DA">
        <w:rPr>
          <w:noProof/>
        </w:rPr>
        <w:t>4</w:t>
      </w:r>
      <w:r w:rsidR="00D30CBC">
        <w:rPr>
          <w:noProof/>
        </w:rPr>
        <w:fldChar w:fldCharType="end"/>
      </w:r>
      <w:r w:rsidR="00EB01DA">
        <w:t>.</w:t>
      </w:r>
      <w:r w:rsidR="00D30CBC">
        <w:fldChar w:fldCharType="begin"/>
      </w:r>
      <w:r w:rsidR="00D30CBC">
        <w:instrText xml:space="preserve"> SEQ Figure \* ARABIC \s 1 </w:instrText>
      </w:r>
      <w:r w:rsidR="00D30CBC">
        <w:fldChar w:fldCharType="separate"/>
      </w:r>
      <w:r w:rsidR="00EB01DA">
        <w:rPr>
          <w:noProof/>
        </w:rPr>
        <w:t>1</w:t>
      </w:r>
      <w:r w:rsidR="00D30CBC">
        <w:rPr>
          <w:noProof/>
        </w:rPr>
        <w:fldChar w:fldCharType="end"/>
      </w:r>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w:t>
      </w:r>
      <w:proofErr w:type="spellStart"/>
      <w:r>
        <w:t>PASSporT</w:t>
      </w:r>
      <w:proofErr w:type="spellEnd"/>
      <w:r>
        <w:t xml:space="preserve"> with the delegate certificate credentials to provide its identity and to demonstrate to the OSP that it is authorized to use the calling TN (steps 1 and 2). Based on verification of a </w:t>
      </w:r>
      <w:proofErr w:type="spellStart"/>
      <w:r>
        <w:t>PASSporT</w:t>
      </w:r>
      <w:proofErr w:type="spellEnd"/>
      <w:r>
        <w:t xml:space="preserve">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w:t>
      </w:r>
      <w:proofErr w:type="spellStart"/>
      <w:r>
        <w:t>PASSporT</w:t>
      </w:r>
      <w:proofErr w:type="spellEnd"/>
      <w:r>
        <w:t xml:space="preserve">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r w:rsidR="00D30CBC">
        <w:fldChar w:fldCharType="begin"/>
      </w:r>
      <w:r w:rsidR="00D30CBC">
        <w:instrText xml:space="preserve"> STYLEREF 1 \s </w:instrText>
      </w:r>
      <w:r w:rsidR="00D30CBC">
        <w:fldChar w:fldCharType="separate"/>
      </w:r>
      <w:r w:rsidR="00EB01DA">
        <w:rPr>
          <w:noProof/>
        </w:rPr>
        <w:t>4</w:t>
      </w:r>
      <w:r w:rsidR="00D30CBC">
        <w:rPr>
          <w:noProof/>
        </w:rPr>
        <w:fldChar w:fldCharType="end"/>
      </w:r>
      <w:r w:rsidR="00EB01DA">
        <w:t>.</w:t>
      </w:r>
      <w:r w:rsidR="00D30CBC">
        <w:fldChar w:fldCharType="begin"/>
      </w:r>
      <w:r w:rsidR="00D30CBC">
        <w:instrText xml:space="preserve"> SEQ Figure \* ARABIC \s 1 </w:instrText>
      </w:r>
      <w:r w:rsidR="00D30CBC">
        <w:fldChar w:fldCharType="separate"/>
      </w:r>
      <w:r w:rsidR="00EB01DA">
        <w:rPr>
          <w:noProof/>
        </w:rPr>
        <w:t>2</w:t>
      </w:r>
      <w:r w:rsidR="00D30CBC">
        <w:rPr>
          <w:noProof/>
        </w:rPr>
        <w:fldChar w:fldCharType="end"/>
      </w:r>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w:t>
      </w:r>
      <w:proofErr w:type="spellStart"/>
      <w:r w:rsidRPr="00B33CB2">
        <w:rPr>
          <w:color w:val="000000" w:themeColor="text1"/>
        </w:rPr>
        <w:t>PASSporT</w:t>
      </w:r>
      <w:proofErr w:type="spellEnd"/>
      <w:r w:rsidRPr="00B33CB2">
        <w:rPr>
          <w:color w:val="000000" w:themeColor="text1"/>
        </w:rPr>
        <w:t xml:space="preserve">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r w:rsidR="00D30CBC">
        <w:fldChar w:fldCharType="begin"/>
      </w:r>
      <w:r w:rsidR="00D30CBC">
        <w:instrText xml:space="preserve"> STYLEREF 1 \s </w:instrText>
      </w:r>
      <w:r w:rsidR="00D30CBC">
        <w:fldChar w:fldCharType="separate"/>
      </w:r>
      <w:r>
        <w:rPr>
          <w:noProof/>
        </w:rPr>
        <w:t>5</w:t>
      </w:r>
      <w:r w:rsidR="00D30CBC">
        <w:rPr>
          <w:noProof/>
        </w:rPr>
        <w:fldChar w:fldCharType="end"/>
      </w:r>
      <w:r>
        <w:t>.</w:t>
      </w:r>
      <w:r w:rsidR="00D30CBC">
        <w:fldChar w:fldCharType="begin"/>
      </w:r>
      <w:r w:rsidR="00D30CBC">
        <w:instrText xml:space="preserve"> SEQ Figure \* ARABIC \s 1 </w:instrText>
      </w:r>
      <w:r w:rsidR="00D30CBC">
        <w:fldChar w:fldCharType="separate"/>
      </w:r>
      <w:r>
        <w:rPr>
          <w:noProof/>
        </w:rPr>
        <w:t>1</w:t>
      </w:r>
      <w:r w:rsidR="00D30CBC">
        <w:rPr>
          <w:noProof/>
        </w:rPr>
        <w:fldChar w:fldCharType="end"/>
      </w:r>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proofErr w:type="spellStart"/>
      <w:r w:rsidR="007D0287" w:rsidRPr="001B0692">
        <w:rPr>
          <w:sz w:val="18"/>
          <w:szCs w:val="18"/>
        </w:rPr>
        <w:t>PASSporT</w:t>
      </w:r>
      <w:proofErr w:type="spellEnd"/>
      <w:r w:rsidR="007D0287" w:rsidRPr="001B0692">
        <w:rPr>
          <w:sz w:val="18"/>
          <w:szCs w:val="18"/>
        </w:rPr>
        <w:t xml:space="preserve">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xml:space="preserve">” </w:t>
      </w:r>
      <w:proofErr w:type="spellStart"/>
      <w:r>
        <w:t>boolean</w:t>
      </w:r>
      <w:proofErr w:type="spellEnd"/>
      <w:r>
        <w:t xml:space="preserve">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576449D1" w14:textId="07779E6B" w:rsidR="00EC4ECF" w:rsidRDefault="00EC4ECF" w:rsidP="00671EE8">
      <w:r w:rsidRPr="00406779">
        <w:rPr>
          <w:highlight w:val="yellow"/>
        </w:rPr>
        <w:t>Editor’s Note: add another example specific to TN</w:t>
      </w:r>
      <w:r w:rsidR="00D25B78" w:rsidRPr="00406779">
        <w:rPr>
          <w:highlight w:val="yellow"/>
        </w:rPr>
        <w:t xml:space="preserve"> pass by reference</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lastRenderedPageBreak/>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proofErr w:type="spellStart"/>
      <w:r w:rsidR="00BC641C">
        <w:rPr>
          <w:rFonts w:cs="Arial"/>
        </w:rPr>
        <w:t>TNAuthList</w:t>
      </w:r>
      <w:proofErr w:type="spellEnd"/>
      <w:r w:rsidR="00BC641C">
        <w:rPr>
          <w:rFonts w:cs="Arial"/>
        </w:rPr>
        <w:t xml:space="preserve">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xml:space="preserve">, the </w:t>
      </w:r>
      <w:proofErr w:type="spellStart"/>
      <w:r w:rsidR="009E49B9">
        <w:rPr>
          <w:rFonts w:cs="Arial"/>
        </w:rPr>
        <w:t>TNAuthLis</w:t>
      </w:r>
      <w:r w:rsidR="00C83DE4">
        <w:rPr>
          <w:rFonts w:cs="Arial"/>
        </w:rPr>
        <w:t>t</w:t>
      </w:r>
      <w:proofErr w:type="spellEnd"/>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r>
        <w:rPr>
          <w:rFonts w:cs="Arial"/>
        </w:rPr>
        <w:t>TNAuthList</w:t>
      </w:r>
      <w:proofErr w:type="spellEnd"/>
      <w:r>
        <w:rPr>
          <w:rFonts w:cs="Arial"/>
        </w:rPr>
        <w:t xml:space="preserve">,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w:t>
      </w:r>
      <w:r>
        <w:rPr>
          <w:rFonts w:cs="Arial"/>
        </w:rPr>
        <w:lastRenderedPageBreak/>
        <w:t xml:space="preserve">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w:t>
      </w:r>
      <w:proofErr w:type="spellEnd"/>
      <w:r w:rsidR="00671EE8">
        <w:rPr>
          <w:rFonts w:cs="Arial"/>
        </w:rPr>
        <w:t xml:space="preserve">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4D3C6CC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BE7A849" w:rsidR="00C235DD" w:rsidRDefault="00F82477" w:rsidP="00C235DD">
      <w:pPr>
        <w:pStyle w:val="Heading3"/>
      </w:pPr>
      <w:bookmarkStart w:id="200" w:name="_Toc40779918"/>
      <w:bookmarkStart w:id="201" w:name="_Toc52187040"/>
      <w:r w:rsidRPr="00411AA5">
        <w:t xml:space="preserve">Certificate </w:t>
      </w:r>
      <w:r w:rsidR="00B65264">
        <w:t>Revocation</w:t>
      </w:r>
      <w:bookmarkEnd w:id="200"/>
      <w:bookmarkEnd w:id="20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lastRenderedPageBreak/>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w:t>
      </w:r>
      <w:proofErr w:type="spellStart"/>
      <w:r w:rsidRPr="002D7A64">
        <w:rPr>
          <w:rFonts w:cs="Arial"/>
          <w:color w:val="222222"/>
        </w:rPr>
        <w:t>crl</w:t>
      </w:r>
      <w:proofErr w:type="spellEnd"/>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317BD0" w:rsidRDefault="00AA48F6" w:rsidP="00317BD0">
      <w:pPr>
        <w:spacing w:before="0" w:after="0"/>
        <w:rPr>
          <w:rFonts w:cs="Arial"/>
          <w:color w:val="222222"/>
          <w:u w:val="single"/>
          <w:shd w:val="clear" w:color="auto" w:fill="FFFFFF"/>
        </w:rPr>
      </w:pPr>
      <w:r w:rsidRPr="00825DD3">
        <w:rPr>
          <w:rFonts w:cs="Arial"/>
          <w:color w:val="222222"/>
          <w:u w:val="single"/>
          <w:shd w:val="clear" w:color="auto" w:fill="FFFFFF"/>
        </w:rPr>
        <w:t>The CRL follows the format as defined in [RFC 5280].</w:t>
      </w:r>
      <w:r>
        <w:rPr>
          <w:rFonts w:cs="Arial"/>
          <w:color w:val="222222"/>
          <w:u w:val="single"/>
          <w:shd w:val="clear" w:color="auto" w:fill="FFFFFF"/>
        </w:rPr>
        <w:t xml:space="preserve">     </w:t>
      </w:r>
      <w:r w:rsidRPr="002D7A64">
        <w:rPr>
          <w:rFonts w:cs="Arial"/>
        </w:rPr>
        <w:t xml:space="preserve">Each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77777777" w:rsidR="00AA48F6" w:rsidRDefault="00AA48F6" w:rsidP="00AA48F6">
      <w:pPr>
        <w:shd w:val="clear" w:color="auto" w:fill="FFFFFF"/>
        <w:spacing w:before="0" w:after="0"/>
        <w:jc w:val="left"/>
        <w:rPr>
          <w:rFonts w:cs="Arial"/>
          <w:color w:val="222222"/>
          <w:sz w:val="18"/>
          <w:szCs w:val="18"/>
        </w:rPr>
      </w:pPr>
    </w:p>
    <w:p w14:paraId="22528C2A" w14:textId="77777777" w:rsidR="00D578FD" w:rsidRDefault="00D578FD" w:rsidP="00D578FD">
      <w:pPr>
        <w:pStyle w:val="Heading3"/>
      </w:pPr>
      <w:bookmarkStart w:id="202" w:name="_Toc52187041"/>
      <w:bookmarkStart w:id="203" w:name="_Ref68700774"/>
      <w:r w:rsidRPr="00411AA5">
        <w:t>Delegate Certificate</w:t>
      </w:r>
      <w:r>
        <w:t xml:space="preserve"> Profile</w:t>
      </w:r>
      <w:bookmarkEnd w:id="202"/>
      <w:bookmarkEnd w:id="20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contain</w:t>
      </w:r>
      <w:r w:rsidR="005F42B6">
        <w:t>s</w:t>
      </w:r>
      <w:r w:rsidR="00D578FD">
        <w:t xml:space="preserve"> 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317BD0">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AE607CC"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2BD07170"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t xml:space="preserve">  </w:t>
      </w:r>
      <w:r w:rsidR="00AA48F6">
        <w:t xml:space="preserve">The delegate certificate shall include </w:t>
      </w:r>
      <w:r w:rsidR="00AA48F6">
        <w:rPr>
          <w:rFonts w:cs="Arial"/>
          <w:color w:val="222222"/>
          <w:u w:val="single"/>
          <w:shd w:val="clear" w:color="auto" w:fill="FFFFFF"/>
        </w:rPr>
        <w:t>the</w:t>
      </w:r>
      <w:r w:rsidR="00AA48F6" w:rsidRPr="00AA48F6">
        <w:rPr>
          <w:rFonts w:cs="Arial"/>
          <w:color w:val="222222"/>
          <w:u w:val="single"/>
          <w:shd w:val="clear" w:color="auto" w:fill="FFFFFF"/>
        </w:rPr>
        <w:t xml:space="preserve"> Key Usage extension</w:t>
      </w:r>
      <w:r w:rsidR="00AA48F6">
        <w:rPr>
          <w:rFonts w:cs="Arial"/>
          <w:color w:val="222222"/>
          <w:u w:val="single"/>
          <w:shd w:val="clear" w:color="auto" w:fill="FFFFFF"/>
        </w:rPr>
        <w:t xml:space="preserve"> with </w:t>
      </w:r>
      <w:proofErr w:type="gramStart"/>
      <w:r w:rsidR="00AA48F6">
        <w:rPr>
          <w:rFonts w:cs="Arial"/>
          <w:color w:val="222222"/>
          <w:u w:val="single"/>
          <w:shd w:val="clear" w:color="auto" w:fill="FFFFFF"/>
        </w:rPr>
        <w:t xml:space="preserve">a </w:t>
      </w:r>
      <w:r w:rsidR="00AA48F6" w:rsidRPr="00AA48F6">
        <w:rPr>
          <w:rFonts w:cs="Arial"/>
          <w:color w:val="222222"/>
          <w:u w:val="single"/>
          <w:shd w:val="clear" w:color="auto" w:fill="FFFFFF"/>
        </w:rPr>
        <w:t xml:space="preserve"> value</w:t>
      </w:r>
      <w:proofErr w:type="gramEnd"/>
      <w:r w:rsidR="00AA48F6" w:rsidRPr="00AA48F6">
        <w:rPr>
          <w:rFonts w:cs="Arial"/>
          <w:color w:val="222222"/>
          <w:u w:val="single"/>
          <w:shd w:val="clear" w:color="auto" w:fill="FFFFFF"/>
        </w:rPr>
        <w:t xml:space="preserve"> </w:t>
      </w:r>
      <w:r w:rsidR="00AA48F6">
        <w:rPr>
          <w:rFonts w:cs="Arial"/>
          <w:color w:val="222222"/>
          <w:u w:val="single"/>
          <w:shd w:val="clear" w:color="auto" w:fill="FFFFFF"/>
        </w:rPr>
        <w:t>of</w:t>
      </w:r>
      <w:r w:rsidR="00AA48F6" w:rsidRPr="00AA48F6">
        <w:rPr>
          <w:rFonts w:cs="Arial"/>
          <w:color w:val="222222"/>
          <w:u w:val="single"/>
          <w:shd w:val="clear" w:color="auto" w:fill="FFFFFF"/>
        </w:rPr>
        <w:t xml:space="preserve"> </w:t>
      </w:r>
      <w:proofErr w:type="spellStart"/>
      <w:r w:rsidR="00AA48F6" w:rsidRPr="00AA48F6">
        <w:rPr>
          <w:rFonts w:cs="Arial"/>
          <w:color w:val="222222"/>
          <w:u w:val="single"/>
          <w:shd w:val="clear" w:color="auto" w:fill="FFFFFF"/>
        </w:rPr>
        <w:t>cRLSign</w:t>
      </w:r>
      <w:proofErr w:type="spellEnd"/>
      <w:r w:rsidR="00AA48F6" w:rsidRPr="00AA48F6">
        <w:rPr>
          <w:rFonts w:cs="Arial"/>
          <w:color w:val="222222"/>
          <w:u w:val="single"/>
          <w:shd w:val="clear" w:color="auto" w:fill="FFFFFF"/>
        </w:rPr>
        <w:t xml:space="preserve"> (6). </w:t>
      </w:r>
      <w:r w:rsidR="00AA48F6">
        <w:rPr>
          <w:rFonts w:cs="Arial"/>
          <w:color w:val="222222"/>
          <w:u w:val="single"/>
          <w:shd w:val="clear" w:color="auto" w:fill="FFFFFF"/>
        </w:rPr>
        <w:t xml:space="preserve"> </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82485C">
        <w:rPr>
          <w:rFonts w:cs="Arial"/>
        </w:rPr>
        <w:t>,</w:t>
      </w:r>
      <w:r w:rsidR="00F036AD" w:rsidRPr="00F036AD">
        <w:rPr>
          <w:rFonts w:cs="Arial"/>
        </w:rPr>
        <w:t xml:space="preserve"> </w:t>
      </w:r>
      <w:r w:rsidR="00F036AD">
        <w:rPr>
          <w:rFonts w:cs="Arial"/>
        </w:rPr>
        <w:t xml:space="preserve">or 2) a URL referencing a retrieval location for such a </w:t>
      </w:r>
      <w:proofErr w:type="spellStart"/>
      <w:r w:rsidR="00F036AD">
        <w:rPr>
          <w:rFonts w:cs="Arial"/>
        </w:rPr>
        <w:t>TNAuthList</w:t>
      </w:r>
      <w:proofErr w:type="spellEnd"/>
      <w:r w:rsidR="00F036AD">
        <w:rPr>
          <w:rFonts w:cs="Arial"/>
        </w:rPr>
        <w:t xml:space="preserve"> (a “pass-by-reference” </w:t>
      </w:r>
      <w:proofErr w:type="spellStart"/>
      <w:r w:rsidR="00F036AD">
        <w:rPr>
          <w:rFonts w:cs="Arial"/>
        </w:rPr>
        <w:t>TNAuthList</w:t>
      </w:r>
      <w:proofErr w:type="spellEnd"/>
      <w:r w:rsidR="00E032AF">
        <w:rPr>
          <w:rFonts w:cs="Arial"/>
        </w:rPr>
        <w:t>).</w:t>
      </w:r>
      <w:r w:rsidR="00237775">
        <w:rPr>
          <w:rFonts w:cs="Arial"/>
        </w:rPr>
        <w:t xml:space="preserve"> </w:t>
      </w:r>
      <w:r w:rsidR="00CA1757">
        <w:rPr>
          <w:rFonts w:cs="Arial"/>
        </w:rPr>
        <w:t xml:space="preserve">For delegate intermediate certificates, the </w:t>
      </w:r>
      <w:proofErr w:type="spellStart"/>
      <w:r w:rsidR="00CA1757">
        <w:rPr>
          <w:rFonts w:cs="Arial"/>
        </w:rPr>
        <w:t>TNAuthList</w:t>
      </w:r>
      <w:proofErr w:type="spellEnd"/>
      <w:r w:rsidR="00CA1757">
        <w:rPr>
          <w:rFonts w:cs="Arial"/>
        </w:rPr>
        <w:t xml:space="preserve">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 xml:space="preserve">ty certificates, the </w:t>
      </w:r>
      <w:proofErr w:type="spellStart"/>
      <w:r w:rsidR="00CA1757">
        <w:rPr>
          <w:rFonts w:cs="Arial"/>
        </w:rPr>
        <w:t>TNAuthList</w:t>
      </w:r>
      <w:proofErr w:type="spellEnd"/>
      <w:r w:rsidR="00CA1757">
        <w:rPr>
          <w:rFonts w:cs="Arial"/>
        </w:rPr>
        <w:t xml:space="preserve">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lastRenderedPageBreak/>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proofErr w:type="spellStart"/>
      <w:r w:rsidR="00206913">
        <w:rPr>
          <w:rFonts w:cs="Arial"/>
        </w:rPr>
        <w:t>TNAuthList</w:t>
      </w:r>
      <w:proofErr w:type="spellEnd"/>
      <w:r w:rsidR="00206913">
        <w:rPr>
          <w:rFonts w:cs="Arial"/>
        </w:rPr>
        <w:t xml:space="preserve">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5E403027"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proofErr w:type="spellStart"/>
      <w:r w:rsidR="00A3153C">
        <w:rPr>
          <w:rFonts w:cs="Arial"/>
        </w:rPr>
        <w:t>TNAuthList</w:t>
      </w:r>
      <w:proofErr w:type="spellEnd"/>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r w:rsidR="009D5021">
        <w:rPr>
          <w:rFonts w:cs="Arial"/>
        </w:rPr>
        <w:t>.</w:t>
      </w:r>
      <w:r w:rsidR="001E213B">
        <w:rPr>
          <w:rFonts w:cs="Arial"/>
        </w:rPr>
        <w:t xml:space="preserve"> </w:t>
      </w:r>
      <w:r w:rsidR="001A23BB" w:rsidRPr="00F96D4F">
        <w:rPr>
          <w:rFonts w:cs="Arial"/>
        </w:rPr>
        <w:t xml:space="preserve">When a retrieval request is sent to the HTTPS URL in the certificate, the </w:t>
      </w:r>
      <w:proofErr w:type="spellStart"/>
      <w:r w:rsidR="001A23BB" w:rsidRPr="00F96D4F">
        <w:rPr>
          <w:rFonts w:cs="Arial"/>
        </w:rPr>
        <w:t>TNAuthList</w:t>
      </w:r>
      <w:proofErr w:type="spellEnd"/>
      <w:r w:rsidR="001A23BB" w:rsidRPr="00F96D4F">
        <w:rPr>
          <w:rFonts w:cs="Arial"/>
        </w:rPr>
        <w:t xml:space="preserve"> shall be returned as described in clause 6.2, below.</w:t>
      </w:r>
      <w:r w:rsidR="00E2399D">
        <w:rPr>
          <w:rFonts w:cs="Arial"/>
        </w:rPr>
        <w:t xml:space="preserve"> </w:t>
      </w:r>
      <w:r w:rsidR="00E2399D" w:rsidRPr="00870093">
        <w:rPr>
          <w:rFonts w:cs="Arial"/>
          <w:highlight w:val="yellow"/>
        </w:rPr>
        <w:t>Editor’s Note: add text on URL validations</w:t>
      </w:r>
    </w:p>
    <w:p w14:paraId="6739DC92" w14:textId="5F80C4B0"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r w:rsidRPr="00B33CB2">
        <w:t xml:space="preserve"> does not </w:t>
      </w:r>
      <w:r>
        <w:t>contain an SPC value</w:t>
      </w:r>
      <w:r w:rsidR="00702DCC">
        <w:t xml:space="preserve">).  The Subject field Common Name attribute </w:t>
      </w:r>
      <w:r>
        <w:t>shall contain the string "Delegate cert"</w:t>
      </w:r>
      <w:ins w:id="204" w:author="MLH Barnes" w:date="2022-03-11T13:15:00Z">
        <w:r w:rsidR="00702DCC">
          <w:t xml:space="preserve"> </w:t>
        </w:r>
      </w:ins>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w:t>
      </w:r>
      <w:proofErr w:type="spellStart"/>
      <w:r w:rsidR="003464D0">
        <w:t>TNAuthList</w:t>
      </w:r>
      <w:proofErr w:type="spellEnd"/>
      <w:r w:rsidR="003464D0">
        <w:t xml:space="preserve">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 xml:space="preserve">By populating the </w:t>
      </w:r>
      <w:proofErr w:type="spellStart"/>
      <w:r>
        <w:t>TNAuthList</w:t>
      </w:r>
      <w:proofErr w:type="spellEnd"/>
      <w:r>
        <w:t xml:space="preserve"> extension (i.e., by value)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w:t>
      </w:r>
      <w:proofErr w:type="spellStart"/>
      <w:r>
        <w:t>TNAuthLists</w:t>
      </w:r>
      <w:proofErr w:type="spellEnd"/>
      <w:r>
        <w:t xml:space="preserve"> by URL must ensure that each URL reference location is available for the validity period of a certificate and is responsible for the contents of the list object.  However, in this case the contents of a </w:t>
      </w:r>
      <w:proofErr w:type="spellStart"/>
      <w:r>
        <w:t>TNAuthList</w:t>
      </w:r>
      <w:proofErr w:type="spellEnd"/>
      <w:r>
        <w:t xml:space="preserve">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5" w:name="_Toc46232498"/>
      <w:bookmarkStart w:id="206" w:name="_Toc46232525"/>
      <w:bookmarkStart w:id="207" w:name="_Toc34670475"/>
      <w:bookmarkStart w:id="208" w:name="_Ref40436424"/>
      <w:bookmarkStart w:id="209" w:name="_Toc40779919"/>
      <w:bookmarkStart w:id="210" w:name="_Toc52187042"/>
      <w:bookmarkEnd w:id="205"/>
      <w:bookmarkEnd w:id="206"/>
      <w:r>
        <w:lastRenderedPageBreak/>
        <w:t xml:space="preserve">Authentication </w:t>
      </w:r>
      <w:r w:rsidR="00D702C1">
        <w:t xml:space="preserve">and Verification </w:t>
      </w:r>
      <w:r>
        <w:t>using Delegate Certificates</w:t>
      </w:r>
      <w:bookmarkEnd w:id="207"/>
      <w:bookmarkEnd w:id="208"/>
      <w:bookmarkEnd w:id="209"/>
      <w:bookmarkEnd w:id="210"/>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w:t>
      </w:r>
      <w:proofErr w:type="spellStart"/>
      <w:r>
        <w:t>PASSporT</w:t>
      </w:r>
      <w:proofErr w:type="spellEnd"/>
      <w:r>
        <w:t xml:space="preserve">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w:t>
      </w:r>
      <w:proofErr w:type="spellStart"/>
      <w:r w:rsidR="00B81413">
        <w:t>PASS</w:t>
      </w:r>
      <w:r w:rsidR="0038167E">
        <w:t>p</w:t>
      </w:r>
      <w:r w:rsidR="00B81413">
        <w:t>orT</w:t>
      </w:r>
      <w:proofErr w:type="spellEnd"/>
      <w:r w:rsidR="00B81413">
        <w:t xml:space="preserve">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1" w:name="_Toc39668438"/>
      <w:bookmarkStart w:id="212" w:name="_Toc40434732"/>
      <w:bookmarkStart w:id="213" w:name="_Toc40779920"/>
      <w:bookmarkStart w:id="214" w:name="_Ref39666555"/>
      <w:bookmarkStart w:id="215" w:name="_Ref39667110"/>
      <w:bookmarkStart w:id="216" w:name="_Toc40779921"/>
      <w:bookmarkStart w:id="217" w:name="_Toc52187043"/>
      <w:bookmarkEnd w:id="211"/>
      <w:bookmarkEnd w:id="212"/>
      <w:bookmarkEnd w:id="213"/>
      <w:r>
        <w:t xml:space="preserve">Delegate Certificate Authentication procedures for Base </w:t>
      </w:r>
      <w:proofErr w:type="spellStart"/>
      <w:r>
        <w:t>PASSpo</w:t>
      </w:r>
      <w:bookmarkEnd w:id="214"/>
      <w:r>
        <w:t>rTs</w:t>
      </w:r>
      <w:bookmarkEnd w:id="215"/>
      <w:bookmarkEnd w:id="216"/>
      <w:bookmarkEnd w:id="217"/>
      <w:proofErr w:type="spellEnd"/>
    </w:p>
    <w:p w14:paraId="5B2A1261" w14:textId="41A97B9A" w:rsidR="0041605B" w:rsidRDefault="0041605B" w:rsidP="0041605B">
      <w:pPr>
        <w:spacing w:before="0" w:after="0"/>
        <w:jc w:val="left"/>
      </w:pPr>
      <w:r>
        <w:t xml:space="preserve">An authentication service may sign a base </w:t>
      </w:r>
      <w:proofErr w:type="spellStart"/>
      <w:r>
        <w:t>PASSporT</w:t>
      </w:r>
      <w:proofErr w:type="spellEnd"/>
      <w:r>
        <w:t xml:space="preserve">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xml:space="preserve">" claim. In this case, the authentication service must construct the base </w:t>
      </w:r>
      <w:proofErr w:type="spellStart"/>
      <w:r>
        <w:t>PASSporT</w:t>
      </w:r>
      <w:proofErr w:type="spellEnd"/>
      <w:r>
        <w:t xml:space="preserve">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 xml:space="preserve">The authentication service shall add an Identity header field containing the signed </w:t>
      </w:r>
      <w:proofErr w:type="spellStart"/>
      <w:r>
        <w:t>PASSporT</w:t>
      </w:r>
      <w:proofErr w:type="spellEnd"/>
      <w:r>
        <w:t xml:space="preserve">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w:t>
      </w:r>
      <w:proofErr w:type="spellStart"/>
      <w:r>
        <w:t>PASSporT</w:t>
      </w:r>
      <w:proofErr w:type="spellEnd"/>
      <w:r>
        <w:t xml:space="preserve">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8" w:name="_Toc40779922"/>
      <w:bookmarkStart w:id="219" w:name="_Toc52187044"/>
      <w:r>
        <w:t>Delegate Certificat</w:t>
      </w:r>
      <w:r w:rsidR="001B41C9">
        <w:t>e Verification Procedures</w:t>
      </w:r>
      <w:r w:rsidR="00423573">
        <w:t xml:space="preserve"> for Base </w:t>
      </w:r>
      <w:proofErr w:type="spellStart"/>
      <w:r w:rsidR="00423573">
        <w:t>PASSporTs</w:t>
      </w:r>
      <w:bookmarkEnd w:id="218"/>
      <w:bookmarkEnd w:id="219"/>
      <w:proofErr w:type="spellEnd"/>
    </w:p>
    <w:p w14:paraId="6F528B1F" w14:textId="441CE7BA" w:rsidR="00B533A9" w:rsidRDefault="00AD1F75" w:rsidP="00DA27D6">
      <w:r>
        <w:t xml:space="preserve">A verification </w:t>
      </w:r>
      <w:r w:rsidR="00E53684">
        <w:t xml:space="preserve">service </w:t>
      </w:r>
      <w:r w:rsidR="00F46711">
        <w:t>shall</w:t>
      </w:r>
      <w:r>
        <w:t xml:space="preserve"> verify a base </w:t>
      </w:r>
      <w:proofErr w:type="spellStart"/>
      <w:r>
        <w:t>PASSporT</w:t>
      </w:r>
      <w:proofErr w:type="spellEnd"/>
      <w:r>
        <w:t xml:space="preserve">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xml:space="preserve">” claims of the base </w:t>
      </w:r>
      <w:proofErr w:type="spellStart"/>
      <w:r w:rsidR="004F58C2">
        <w:t>PASSporT</w:t>
      </w:r>
      <w:proofErr w:type="spellEnd"/>
      <w:r w:rsidR="004F58C2">
        <w:t xml:space="preserve">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 xml:space="preserve">Verification services can detect when a </w:t>
      </w:r>
      <w:proofErr w:type="spellStart"/>
      <w:r>
        <w:t>PASS</w:t>
      </w:r>
      <w:r w:rsidR="001D3C86">
        <w:t>p</w:t>
      </w:r>
      <w:r>
        <w:t>orT</w:t>
      </w:r>
      <w:proofErr w:type="spellEnd"/>
      <w:r>
        <w:t xml:space="preserve">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 xml:space="preserve">of the base </w:t>
      </w:r>
      <w:proofErr w:type="spellStart"/>
      <w:r w:rsidR="0046681B">
        <w:t>PASSporT</w:t>
      </w:r>
      <w:proofErr w:type="spellEnd"/>
      <w:r>
        <w:t xml:space="preserve"> </w:t>
      </w:r>
      <w:r w:rsidR="000F40C9">
        <w:t>con</w:t>
      </w:r>
      <w:r w:rsidR="00F23865">
        <w:t xml:space="preserve">tains a pass-by-reference </w:t>
      </w:r>
      <w:proofErr w:type="spellStart"/>
      <w:r w:rsidR="00A87648">
        <w:t>TNAuthList</w:t>
      </w:r>
      <w:proofErr w:type="spellEnd"/>
      <w:r w:rsidR="00A87648">
        <w:t xml:space="preserve">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 xml:space="preserve">has a path that ends with </w:t>
      </w:r>
      <w:proofErr w:type="gramStart"/>
      <w:r w:rsidR="005867E7">
        <w:t>“</w:t>
      </w:r>
      <w:r w:rsidR="009653A0">
        <w:t>.</w:t>
      </w:r>
      <w:r w:rsidR="005867E7">
        <w:t>der</w:t>
      </w:r>
      <w:proofErr w:type="gramEnd"/>
      <w:r w:rsidR="005867E7">
        <w:t>”</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 xml:space="preserve">a DER-encoded </w:t>
      </w:r>
      <w:proofErr w:type="spellStart"/>
      <w:r w:rsidR="007E4E74">
        <w:t>TNAuthList</w:t>
      </w:r>
      <w:proofErr w:type="spellEnd"/>
      <w:r w:rsidR="007E4E74">
        <w: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w:t>
      </w:r>
      <w:proofErr w:type="spellStart"/>
      <w:r w:rsidR="003B793C">
        <w:rPr>
          <w:rFonts w:cs="Arial"/>
        </w:rPr>
        <w:t>TNAuthList</w:t>
      </w:r>
      <w:proofErr w:type="spellEnd"/>
      <w:r w:rsidR="003B793C">
        <w:rPr>
          <w:rFonts w:cs="Arial"/>
        </w:rPr>
        <w:t xml:space="preserve">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proofErr w:type="spellStart"/>
      <w:r w:rsidR="000D7953">
        <w:rPr>
          <w:rFonts w:cs="Arial"/>
        </w:rPr>
        <w:t>TNAuthList</w:t>
      </w:r>
      <w:proofErr w:type="spellEnd"/>
      <w:r w:rsidR="000D7953">
        <w:rPr>
          <w:rFonts w:cs="Arial"/>
        </w:rPr>
        <w:t xml:space="preserve">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w:t>
      </w:r>
      <w:proofErr w:type="spellStart"/>
      <w:r w:rsidR="00AB2898">
        <w:rPr>
          <w:rFonts w:cs="Arial"/>
        </w:rPr>
        <w:t>TNAuthList</w:t>
      </w:r>
      <w:proofErr w:type="spellEnd"/>
      <w:r w:rsidR="00AB2898">
        <w:rPr>
          <w:rFonts w:cs="Arial"/>
        </w:rPr>
        <w:t xml:space="preserve">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370B4C54" w:rsidR="00D2612C" w:rsidRDefault="00094F87" w:rsidP="00094F87">
      <w:pPr>
        <w:pStyle w:val="Caption"/>
        <w:rPr>
          <w:ins w:id="220" w:author="MLH Barnes" w:date="2022-03-13T13:56:00Z"/>
        </w:rPr>
      </w:pPr>
      <w:bookmarkStart w:id="221" w:name="_Ref46234996"/>
      <w:bookmarkStart w:id="222" w:name="_Toc52187004"/>
      <w:r>
        <w:t xml:space="preserve">Figure </w:t>
      </w:r>
      <w:r w:rsidR="00D30CBC">
        <w:fldChar w:fldCharType="begin"/>
      </w:r>
      <w:r w:rsidR="00D30CBC">
        <w:instrText xml:space="preserve"> STYLEREF 1 \s </w:instrText>
      </w:r>
      <w:r w:rsidR="00D30CBC">
        <w:fldChar w:fldCharType="separate"/>
      </w:r>
      <w:r w:rsidR="00EB01DA">
        <w:rPr>
          <w:noProof/>
        </w:rPr>
        <w:t>6</w:t>
      </w:r>
      <w:r w:rsidR="00D30CBC">
        <w:rPr>
          <w:noProof/>
        </w:rPr>
        <w:fldChar w:fldCharType="end"/>
      </w:r>
      <w:r w:rsidR="00EB01DA">
        <w:t>.</w:t>
      </w:r>
      <w:r w:rsidR="00D30CBC">
        <w:fldChar w:fldCharType="begin"/>
      </w:r>
      <w:r w:rsidR="00D30CBC">
        <w:instrText xml:space="preserve"> SEQ Figure \* ARABIC \s 1 </w:instrText>
      </w:r>
      <w:r w:rsidR="00D30CBC">
        <w:fldChar w:fldCharType="separate"/>
      </w:r>
      <w:r w:rsidR="00EB01DA">
        <w:rPr>
          <w:noProof/>
        </w:rPr>
        <w:t>1</w:t>
      </w:r>
      <w:r w:rsidR="00D30CBC">
        <w:rPr>
          <w:noProof/>
        </w:rPr>
        <w:fldChar w:fldCharType="end"/>
      </w:r>
      <w:bookmarkEnd w:id="221"/>
      <w:r>
        <w:t xml:space="preserve"> – Distinguishing between delegate and </w:t>
      </w:r>
      <w:r w:rsidR="0010135C">
        <w:t xml:space="preserve">SHAKEN </w:t>
      </w:r>
      <w:r>
        <w:t>certificates</w:t>
      </w:r>
      <w:bookmarkEnd w:id="222"/>
    </w:p>
    <w:p w14:paraId="477C163F" w14:textId="5FB31BC6" w:rsidR="004A63B4" w:rsidRPr="004A63B4" w:rsidRDefault="004A63B4">
      <w:pPr>
        <w:pPrChange w:id="223" w:author="MLH Barnes" w:date="2022-03-13T13:56:00Z">
          <w:pPr>
            <w:pStyle w:val="Caption"/>
          </w:pPr>
        </w:pPrChange>
      </w:pPr>
      <w:ins w:id="224" w:author="MLH Barnes" w:date="2022-03-13T13:56:00Z">
        <w:r w:rsidRPr="004A63B4">
          <w:rPr>
            <w:highlight w:val="yellow"/>
            <w:rPrChange w:id="225" w:author="MLH Barnes" w:date="2022-03-13T13:56:00Z">
              <w:rPr/>
            </w:rPrChange>
          </w:rPr>
          <w:t>[Editor’s Note: Need to show CRLs in the above diagram.]</w:t>
        </w:r>
      </w:ins>
    </w:p>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w:t>
      </w:r>
      <w:proofErr w:type="spellStart"/>
      <w:r w:rsidR="002D6D23">
        <w:t>PASSporT</w:t>
      </w:r>
      <w:proofErr w:type="spellEnd"/>
      <w:r w:rsidR="002D6D23">
        <w:t xml:space="preserve">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611442F"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r w:rsidR="000F7DF5">
        <w:t xml:space="preserve">   </w:t>
      </w:r>
    </w:p>
    <w:p w14:paraId="05D1D6AC" w14:textId="781B85DC"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671AFD61" w14:textId="5DC0DF57" w:rsidR="009B5D86" w:rsidRPr="009B5D86" w:rsidRDefault="009B5D86" w:rsidP="00491582">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w:t>
      </w:r>
      <w:proofErr w:type="spellStart"/>
      <w:r w:rsidRPr="009B5D86">
        <w:t>pkix-crl</w:t>
      </w:r>
      <w:proofErr w:type="spellEnd"/>
      <w:r w:rsidRPr="009B5D86">
        <w:t xml:space="preserve"> validation shall fail.</w:t>
      </w:r>
      <w:r w:rsidR="00491582">
        <w:t xml:space="preserve">  </w:t>
      </w:r>
      <w:r w:rsidR="007F6A38">
        <w:t xml:space="preserve">The verifier shall check that the </w:t>
      </w:r>
      <w:r w:rsidR="004B39EA">
        <w:t xml:space="preserve">delegate certificate is not on the CRL. </w:t>
      </w:r>
    </w:p>
    <w:p w14:paraId="52EB539D" w14:textId="0AB1FDA2" w:rsidR="009B5D86" w:rsidRDefault="00491582" w:rsidP="000B3329">
      <w:pPr>
        <w:pStyle w:val="ListParagraph"/>
        <w:numPr>
          <w:ilvl w:val="0"/>
          <w:numId w:val="30"/>
        </w:numPr>
      </w:pPr>
      <w:r>
        <w:t>If not already cached, the verifier dereferences the URL for the CRL contained in the CRL Distribution Point extension in the first-non-delegate certificate encountered while traversing the path.</w:t>
      </w:r>
      <w:r w:rsidR="004B39EA">
        <w:t xml:space="preserve"> The verifier shall check that the certificate is not on the CRL.  </w:t>
      </w:r>
    </w:p>
    <w:p w14:paraId="748DDBC8" w14:textId="46BF12FE" w:rsidR="00AA48F6" w:rsidRPr="00AA48F6" w:rsidRDefault="00AA48F6" w:rsidP="00AA48F6">
      <w:pPr>
        <w:pStyle w:val="ListParagraph"/>
        <w:numPr>
          <w:ilvl w:val="0"/>
          <w:numId w:val="30"/>
        </w:numPr>
      </w:pPr>
      <w:r>
        <w:lastRenderedPageBreak/>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695BF69E" w14:textId="013575A8" w:rsidR="00AA48F6" w:rsidRDefault="00AA48F6" w:rsidP="00AA48F6">
      <w:pPr>
        <w:pStyle w:val="ListParagraph"/>
      </w:pPr>
      <w:r>
        <w:t xml:space="preserve"> </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26" w:name="_Ref46235009"/>
      <w:bookmarkStart w:id="227" w:name="_Toc52187005"/>
      <w:r>
        <w:t xml:space="preserve">Figure </w:t>
      </w:r>
      <w:r w:rsidR="00D30CBC">
        <w:fldChar w:fldCharType="begin"/>
      </w:r>
      <w:r w:rsidR="00D30CBC">
        <w:instrText xml:space="preserve"> STYLEREF 1 \s </w:instrText>
      </w:r>
      <w:r w:rsidR="00D30CBC">
        <w:fldChar w:fldCharType="separate"/>
      </w:r>
      <w:r w:rsidR="00EB01DA">
        <w:rPr>
          <w:noProof/>
        </w:rPr>
        <w:t>6</w:t>
      </w:r>
      <w:r w:rsidR="00D30CBC">
        <w:rPr>
          <w:noProof/>
        </w:rPr>
        <w:fldChar w:fldCharType="end"/>
      </w:r>
      <w:r w:rsidR="00EB01DA">
        <w:t>.</w:t>
      </w:r>
      <w:r w:rsidR="00D30CBC">
        <w:fldChar w:fldCharType="begin"/>
      </w:r>
      <w:r w:rsidR="00D30CBC">
        <w:instrText xml:space="preserve"> SEQ Figure \* ARABIC \s 1 </w:instrText>
      </w:r>
      <w:r w:rsidR="00D30CBC">
        <w:fldChar w:fldCharType="separate"/>
      </w:r>
      <w:r w:rsidR="00EB01DA">
        <w:rPr>
          <w:noProof/>
        </w:rPr>
        <w:t>2</w:t>
      </w:r>
      <w:r w:rsidR="00D30CBC">
        <w:rPr>
          <w:noProof/>
        </w:rPr>
        <w:fldChar w:fldCharType="end"/>
      </w:r>
      <w:bookmarkEnd w:id="226"/>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bookmarkEnd w:id="227"/>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8" w:name="_Ref6409854"/>
      <w:bookmarkStart w:id="229"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30" w:name="_Toc34670476"/>
      <w:bookmarkStart w:id="231" w:name="_Toc40779923"/>
      <w:bookmarkStart w:id="232"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30"/>
      <w:bookmarkEnd w:id="231"/>
      <w:bookmarkEnd w:id="232"/>
      <w:proofErr w:type="spellEnd"/>
    </w:p>
    <w:p w14:paraId="7B3F0ED3" w14:textId="160D7DBE" w:rsidR="000C1841" w:rsidRDefault="00D33E3A" w:rsidP="00910351">
      <w:r w:rsidRPr="00D33E3A">
        <w:t xml:space="preserve">This section describes the behavior when the delegate certificate signed </w:t>
      </w:r>
      <w:proofErr w:type="spellStart"/>
      <w:r w:rsidRPr="00D33E3A">
        <w:t>PASSporT</w:t>
      </w:r>
      <w:proofErr w:type="spellEnd"/>
      <w:r w:rsidRPr="00D33E3A">
        <w:t xml:space="preserve">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 xml:space="preserve">can be used as an optional mechanism to support the ability for an OSP authentication service to provide “A” level attestation to a “shaken” </w:t>
      </w:r>
      <w:proofErr w:type="spellStart"/>
      <w:r w:rsidR="001D0D0C">
        <w:t>PASSporT</w:t>
      </w:r>
      <w:proofErr w:type="spellEnd"/>
      <w:r w:rsidR="001D0D0C">
        <w:t xml:space="preserve">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w:t>
      </w:r>
      <w:r w:rsidR="006A4238">
        <w:lastRenderedPageBreak/>
        <w:t xml:space="preserve">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proofErr w:type="spellStart"/>
      <w:r w:rsidR="00817F7B">
        <w:t>PASS</w:t>
      </w:r>
      <w:r w:rsidR="00845BFF">
        <w:t>p</w:t>
      </w:r>
      <w:r w:rsidR="00817F7B">
        <w:t>orT</w:t>
      </w:r>
      <w:proofErr w:type="spellEnd"/>
      <w:r w:rsidR="00817F7B">
        <w:t xml:space="preserve">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w:t>
      </w:r>
      <w:proofErr w:type="gramStart"/>
      <w:r>
        <w:t>a</w:t>
      </w:r>
      <w:proofErr w:type="gramEnd"/>
      <w:r>
        <w:t xml:space="preserve"> </w:t>
      </w:r>
      <w:r w:rsidR="00042499">
        <w:t xml:space="preserve">INVITE request </w:t>
      </w:r>
      <w:r>
        <w:t xml:space="preserve">received from a UNI customer, the OSP should attempt to verify the received </w:t>
      </w:r>
      <w:proofErr w:type="spellStart"/>
      <w:r>
        <w:t>PASSporT</w:t>
      </w:r>
      <w:proofErr w:type="spellEnd"/>
      <w:r>
        <w:t xml:space="preserve">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w:t>
      </w:r>
      <w:proofErr w:type="spellStart"/>
      <w:r w:rsidR="00D40C74">
        <w:t>PASSporT</w:t>
      </w:r>
      <w:proofErr w:type="spellEnd"/>
      <w:r w:rsidR="00D40C74">
        <w:t xml:space="preserve">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w:t>
      </w:r>
      <w:proofErr w:type="spellStart"/>
      <w:r w:rsidRPr="003274CF">
        <w:t>PASSporT</w:t>
      </w:r>
      <w:proofErr w:type="spellEnd"/>
      <w:r w:rsidRPr="003274CF">
        <w:t xml:space="preserve">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 xml:space="preserve">level as described above, it shall discard the base </w:t>
      </w:r>
      <w:proofErr w:type="spellStart"/>
      <w:r>
        <w:rPr>
          <w:rFonts w:cs="Arial"/>
          <w:color w:val="000000"/>
        </w:rPr>
        <w:t>PASSporT</w:t>
      </w:r>
      <w:proofErr w:type="spellEnd"/>
      <w:r>
        <w:rPr>
          <w:rFonts w:cs="Arial"/>
          <w:color w:val="000000"/>
        </w:rPr>
        <w:t xml:space="preserve">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 xml:space="preserve">for non-base </w:t>
      </w:r>
      <w:proofErr w:type="spellStart"/>
      <w:r w:rsidR="009A5BF4">
        <w:rPr>
          <w:rFonts w:cs="Arial"/>
          <w:color w:val="000000"/>
        </w:rPr>
        <w:t>PASSporT</w:t>
      </w:r>
      <w:proofErr w:type="spellEnd"/>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8"/>
    <w:bookmarkEnd w:id="229"/>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B0E7" w14:textId="77777777" w:rsidR="00D30CBC" w:rsidRDefault="00D30CBC">
      <w:r>
        <w:separator/>
      </w:r>
    </w:p>
  </w:endnote>
  <w:endnote w:type="continuationSeparator" w:id="0">
    <w:p w14:paraId="450CB1AA" w14:textId="77777777" w:rsidR="00D30CBC" w:rsidRDefault="00D30CBC">
      <w:r>
        <w:continuationSeparator/>
      </w:r>
    </w:p>
  </w:endnote>
  <w:endnote w:type="continuationNotice" w:id="1">
    <w:p w14:paraId="4A20409F" w14:textId="77777777" w:rsidR="00D30CBC" w:rsidRDefault="00D30C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altName w:val="Yu Gothic"/>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1AC2" w14:textId="77777777" w:rsidR="00D30CBC" w:rsidRDefault="00D30CBC">
      <w:r>
        <w:separator/>
      </w:r>
    </w:p>
  </w:footnote>
  <w:footnote w:type="continuationSeparator" w:id="0">
    <w:p w14:paraId="5B976CF1" w14:textId="77777777" w:rsidR="00D30CBC" w:rsidRDefault="00D30CBC">
      <w:r>
        <w:continuationSeparator/>
      </w:r>
    </w:p>
  </w:footnote>
  <w:footnote w:type="continuationNotice" w:id="1">
    <w:p w14:paraId="0DDB1F34" w14:textId="77777777" w:rsidR="00D30CBC" w:rsidRDefault="00D30CBC">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w:t>
      </w:r>
      <w:proofErr w:type="spellStart"/>
      <w:r w:rsidR="00487976" w:rsidRPr="00487976">
        <w:t>TNAuthList</w:t>
      </w:r>
      <w:proofErr w:type="spellEnd"/>
      <w:r w:rsidR="00487976" w:rsidRPr="00487976">
        <w:t xml:space="preserve"> resource referenced by the AIA </w:t>
      </w:r>
      <w:proofErr w:type="spellStart"/>
      <w:r w:rsidR="00487976" w:rsidRPr="00487976">
        <w:t>accessLocation</w:t>
      </w:r>
      <w:proofErr w:type="spellEnd"/>
      <w:r w:rsidR="00487976" w:rsidRPr="00487976">
        <w:t xml:space="preserve">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6"/>
  </w:num>
  <w:num w:numId="14">
    <w:abstractNumId w:val="36"/>
  </w:num>
  <w:num w:numId="15">
    <w:abstractNumId w:val="44"/>
  </w:num>
  <w:num w:numId="16">
    <w:abstractNumId w:val="31"/>
  </w:num>
  <w:num w:numId="17">
    <w:abstractNumId w:val="38"/>
  </w:num>
  <w:num w:numId="18">
    <w:abstractNumId w:val="11"/>
  </w:num>
  <w:num w:numId="19">
    <w:abstractNumId w:val="35"/>
  </w:num>
  <w:num w:numId="20">
    <w:abstractNumId w:val="13"/>
  </w:num>
  <w:num w:numId="21">
    <w:abstractNumId w:val="24"/>
  </w:num>
  <w:num w:numId="22">
    <w:abstractNumId w:val="30"/>
  </w:num>
  <w:num w:numId="23">
    <w:abstractNumId w:val="19"/>
  </w:num>
  <w:num w:numId="24">
    <w:abstractNumId w:val="43"/>
  </w:num>
  <w:num w:numId="25">
    <w:abstractNumId w:val="47"/>
  </w:num>
  <w:num w:numId="26">
    <w:abstractNumId w:val="32"/>
  </w:num>
  <w:num w:numId="27">
    <w:abstractNumId w:val="14"/>
  </w:num>
  <w:num w:numId="28">
    <w:abstractNumId w:val="27"/>
  </w:num>
  <w:num w:numId="29">
    <w:abstractNumId w:val="20"/>
  </w:num>
  <w:num w:numId="30">
    <w:abstractNumId w:val="29"/>
  </w:num>
  <w:num w:numId="31">
    <w:abstractNumId w:val="37"/>
  </w:num>
  <w:num w:numId="32">
    <w:abstractNumId w:val="48"/>
  </w:num>
  <w:num w:numId="33">
    <w:abstractNumId w:val="50"/>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40"/>
  </w:num>
  <w:num w:numId="45">
    <w:abstractNumId w:val="42"/>
  </w:num>
  <w:num w:numId="46">
    <w:abstractNumId w:val="28"/>
  </w:num>
  <w:num w:numId="47">
    <w:abstractNumId w:val="17"/>
  </w:num>
  <w:num w:numId="48">
    <w:abstractNumId w:val="26"/>
  </w:num>
  <w:num w:numId="49">
    <w:abstractNumId w:val="41"/>
  </w:num>
  <w:num w:numId="50">
    <w:abstractNumId w:val="21"/>
  </w:num>
  <w:num w:numId="51">
    <w:abstractNumId w:val="12"/>
  </w:num>
  <w:num w:numId="52">
    <w:abstractNumId w:val="46"/>
  </w:num>
  <w:num w:numId="53">
    <w:abstractNumId w:val="39"/>
  </w:num>
  <w:num w:numId="54">
    <w:abstractNumId w:val="9"/>
  </w:num>
  <w:num w:numId="55">
    <w:abstractNumId w:val="49"/>
  </w:num>
  <w:num w:numId="56">
    <w:abstractNumId w:val="18"/>
  </w:num>
  <w:num w:numId="57">
    <w:abstractNumId w:val="34"/>
  </w:num>
  <w:num w:numId="58">
    <w:abstractNumId w:val="23"/>
  </w:num>
  <w:num w:numId="59">
    <w:abstractNumId w:val="10"/>
  </w:num>
  <w:num w:numId="60">
    <w:abstractNumId w:val="25"/>
  </w:num>
  <w:num w:numId="61">
    <w:abstractNumId w:val="15"/>
  </w:num>
  <w:num w:numId="6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DF5"/>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9D4"/>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17BD0"/>
    <w:rsid w:val="00320AE8"/>
    <w:rsid w:val="00320DBE"/>
    <w:rsid w:val="00321134"/>
    <w:rsid w:val="003211F1"/>
    <w:rsid w:val="003212AE"/>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26E"/>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616"/>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0182"/>
    <w:rsid w:val="009A1150"/>
    <w:rsid w:val="009A1887"/>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1D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1E0F"/>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18F"/>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930"/>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CA5"/>
    <w:rsid w:val="00D26D83"/>
    <w:rsid w:val="00D26F58"/>
    <w:rsid w:val="00D270FB"/>
    <w:rsid w:val="00D2751F"/>
    <w:rsid w:val="00D2789B"/>
    <w:rsid w:val="00D27CF5"/>
    <w:rsid w:val="00D30175"/>
    <w:rsid w:val="00D305CE"/>
    <w:rsid w:val="00D30CBC"/>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583"/>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11459</Words>
  <Characters>65322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76628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3</cp:revision>
  <cp:lastPrinted>2019-04-15T21:36:00Z</cp:lastPrinted>
  <dcterms:created xsi:type="dcterms:W3CDTF">2022-04-25T13:16:00Z</dcterms:created>
  <dcterms:modified xsi:type="dcterms:W3CDTF">2022-04-25T13:20:00Z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