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595E378F" w:rsidR="008A009E" w:rsidRPr="007F49E7" w:rsidRDefault="00652E25" w:rsidP="008C2BF6">
      <w:pPr>
        <w:rPr>
          <w:bCs/>
        </w:rPr>
      </w:pPr>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proofErr w:type="gramStart"/>
      <w:r w:rsidR="00B0761C">
        <w:t>]</w:t>
      </w:r>
      <w:r w:rsidR="001A3C3E">
        <w:t>.</w:t>
      </w:r>
      <w:r w:rsidR="008A009E">
        <w:rPr>
          <w:b/>
        </w:rPr>
        <w:t>Subordinate</w:t>
      </w:r>
      <w:proofErr w:type="gramEnd"/>
      <w:r w:rsidR="008A009E">
        <w:rPr>
          <w:b/>
        </w:rPr>
        <w:t xml:space="preserve"> CA (SCA):</w:t>
      </w:r>
      <w:r w:rsidR="008A009E">
        <w:rPr>
          <w:bCs/>
        </w:rPr>
        <w:t xml:space="preserve"> A CA whose public-key certificate is issued by another (superior) CA</w:t>
      </w:r>
      <w:r w:rsidR="00613658">
        <w:rPr>
          <w:bCs/>
        </w:rPr>
        <w:t xml:space="preserve"> [Ref 8]</w:t>
      </w:r>
      <w:r w:rsidR="008A009E">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lastRenderedPageBreak/>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w:t>
      </w:r>
      <w:proofErr w:type="spellStart"/>
      <w:r>
        <w:t>“ca” 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2" w:name="_Toc52187041"/>
      <w:bookmarkStart w:id="203" w:name="_Ref68700774"/>
      <w:r w:rsidRPr="00411AA5">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92AAD15" w:rsidR="00B0738D" w:rsidRPr="00B0738D" w:rsidRDefault="00D578FD" w:rsidP="00D578FD">
      <w:pPr>
        <w:pStyle w:val="ListParagraph"/>
        <w:numPr>
          <w:ilvl w:val="0"/>
          <w:numId w:val="53"/>
        </w:numPr>
      </w:pPr>
      <w:r>
        <w:t xml:space="preserve">A delegate certificate shall contain a TNAuthList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passed by value. For delegate end ent</w:t>
      </w:r>
      <w:r w:rsidR="000B6EED">
        <w:rPr>
          <w:rFonts w:cs="Arial"/>
        </w:rPr>
        <w:t>i</w:t>
      </w:r>
      <w:r w:rsidR="00CA1757">
        <w:rPr>
          <w:rFonts w:cs="Arial"/>
        </w:rPr>
        <w:t>ty certificates, the TNAuthList can be</w:t>
      </w:r>
      <w:r w:rsidR="000B6EED">
        <w:rPr>
          <w:rFonts w:cs="Arial"/>
        </w:rPr>
        <w:t xml:space="preserve"> </w:t>
      </w:r>
      <w:r w:rsidR="00CA1757">
        <w:rPr>
          <w:rFonts w:cs="Arial"/>
        </w:rPr>
        <w:t xml:space="preserve">passed </w:t>
      </w:r>
      <w:r w:rsidR="000B6EED">
        <w:rPr>
          <w:rFonts w:cs="Arial"/>
        </w:rPr>
        <w:t xml:space="preserve">either </w:t>
      </w:r>
      <w:r w:rsidR="00CA1757">
        <w:rPr>
          <w:rFonts w:cs="Arial"/>
        </w:rPr>
        <w:t xml:space="preserve">by value or by reference.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r w:rsidR="006E33F9">
        <w:rPr>
          <w:rFonts w:cs="Arial"/>
        </w:rPr>
        <w:t xml:space="preserve">end entity </w:t>
      </w:r>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52187042"/>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52187043"/>
      <w:bookmarkEnd w:id="210"/>
      <w:bookmarkEnd w:id="211"/>
      <w:bookmarkEnd w:id="212"/>
      <w:r>
        <w:t>Delegate Certificate Authentication procedures for Base PASSpo</w:t>
      </w:r>
      <w:bookmarkEnd w:id="213"/>
      <w:r>
        <w:t>rTs</w:t>
      </w:r>
      <w:bookmarkEnd w:id="214"/>
      <w:bookmarkEnd w:id="215"/>
      <w:bookmarkEnd w:id="21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7" w:name="_Toc40779922"/>
      <w:bookmarkStart w:id="218" w:name="_Toc52187044"/>
      <w:r>
        <w:t>Delegate Certificat</w:t>
      </w:r>
      <w:r w:rsidR="001B41C9">
        <w:t>e Verification Procedures</w:t>
      </w:r>
      <w:r w:rsidR="00423573">
        <w:t xml:space="preserve"> for Base PASSporTs</w:t>
      </w:r>
      <w:bookmarkEnd w:id="217"/>
      <w:bookmarkEnd w:id="21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19" w:name="_Ref46234996"/>
      <w:bookmarkStart w:id="220"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19"/>
      <w:r>
        <w:t xml:space="preserve"> – Distinguishing between delegate and </w:t>
      </w:r>
      <w:r w:rsidR="0010135C">
        <w:t xml:space="preserve">SHAKEN </w:t>
      </w:r>
      <w:r>
        <w:t>certificates</w:t>
      </w:r>
      <w:bookmarkEnd w:id="220"/>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21" w:name="_Ref46235009"/>
      <w:bookmarkStart w:id="222"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21"/>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222"/>
      <w:r w:rsidR="00CD5F8F">
        <w:t xml:space="preserve"> credentials</w:t>
      </w:r>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5"/>
      <w:bookmarkEnd w:id="226"/>
      <w:bookmarkEnd w:id="22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40951" w14:textId="77777777" w:rsidR="00820AF4" w:rsidRDefault="00820AF4">
      <w:r>
        <w:separator/>
      </w:r>
    </w:p>
  </w:endnote>
  <w:endnote w:type="continuationSeparator" w:id="0">
    <w:p w14:paraId="35EF194A" w14:textId="77777777" w:rsidR="00820AF4" w:rsidRDefault="00820AF4">
      <w:r>
        <w:continuationSeparator/>
      </w:r>
    </w:p>
  </w:endnote>
  <w:endnote w:type="continuationNotice" w:id="1">
    <w:p w14:paraId="0346176E" w14:textId="77777777" w:rsidR="00820AF4" w:rsidRDefault="00820A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7661" w14:textId="77777777" w:rsidR="00820AF4" w:rsidRDefault="00820AF4">
      <w:r>
        <w:separator/>
      </w:r>
    </w:p>
  </w:footnote>
  <w:footnote w:type="continuationSeparator" w:id="0">
    <w:p w14:paraId="4227DBE3" w14:textId="77777777" w:rsidR="00820AF4" w:rsidRDefault="00820AF4">
      <w:r>
        <w:continuationSeparator/>
      </w:r>
    </w:p>
  </w:footnote>
  <w:footnote w:type="continuationNotice" w:id="1">
    <w:p w14:paraId="35715F76" w14:textId="77777777" w:rsidR="00820AF4" w:rsidRDefault="00820AF4">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10525</Words>
  <Characters>59996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70381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3</cp:revision>
  <cp:lastPrinted>2019-04-15T21:36:00Z</cp:lastPrinted>
  <dcterms:created xsi:type="dcterms:W3CDTF">2021-07-10T21:31:00Z</dcterms:created>
  <dcterms:modified xsi:type="dcterms:W3CDTF">2021-07-10T21:32:00Z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