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1ACAE79"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w:t>
      </w:r>
      <w:r w:rsidR="00862BE2">
        <w:rPr>
          <w:rFonts w:cs="Arial"/>
          <w:b/>
          <w:bCs/>
          <w:iCs/>
          <w:sz w:val="36"/>
        </w:rPr>
        <w:t>International Attestation and Certificate Framework</w:t>
      </w:r>
      <w:r w:rsidR="009852B0">
        <w:rPr>
          <w:rFonts w:cs="Arial"/>
          <w:b/>
          <w:bCs/>
          <w:iCs/>
          <w:sz w:val="36"/>
        </w:rPr>
        <w:t xml:space="preserve"> </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555BF7D3" w:rsidR="00D76D26" w:rsidRDefault="00687A95">
      <w:r>
        <w:t xml:space="preserve">The base-SHAKEN framework </w:t>
      </w:r>
      <w:r w:rsidR="00862BE2">
        <w:t>focused on a technical framework for governance over a PKI with a single realm</w:t>
      </w:r>
      <w:r w:rsidR="000F5071">
        <w:t xml:space="preserve">.  International presents a situation that SHAKEN can support if jurisdictions adopt the SHAKEN standards in a common </w:t>
      </w:r>
      <w:proofErr w:type="gramStart"/>
      <w:r w:rsidR="000F5071">
        <w:t>way, but</w:t>
      </w:r>
      <w:proofErr w:type="gramEnd"/>
      <w:r w:rsidR="000F5071">
        <w:t xml:space="preserve"> can offer challenges if policies are incompatible. This document defines standards on how attestation and jurisdictional certificates consistent with existing SHAKEN specifications can be managed and interpreted in a consistent way that can align with jurisdictional interests and policies with the goal of reducing exception cases when doing cross border SHAKEN.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266F6AB3" w:rsidR="007E23D3" w:rsidRPr="007E23D3" w:rsidRDefault="007E23D3" w:rsidP="00572688">
            <w:pPr>
              <w:rPr>
                <w:rFonts w:cs="Arial"/>
                <w:sz w:val="18"/>
                <w:szCs w:val="18"/>
              </w:rPr>
            </w:pP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5E6368C5"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6298CE71" w14:textId="74E6C3C5" w:rsidR="007016C5" w:rsidRDefault="000F7412">
      <w:pPr>
        <w:pStyle w:val="TOC1"/>
        <w:rPr>
          <w:rFonts w:asciiTheme="minorHAnsi" w:eastAsiaTheme="minorEastAsia" w:hAnsiTheme="minorHAnsi" w:cstheme="minorBidi"/>
          <w:b w:val="0"/>
          <w:bCs w:val="0"/>
          <w:caps w:val="0"/>
          <w:noProof/>
          <w:sz w:val="22"/>
          <w:szCs w:val="22"/>
        </w:rPr>
      </w:pPr>
      <w:r>
        <w:rPr>
          <w:highlight w:val="yellow"/>
        </w:rPr>
        <w:fldChar w:fldCharType="begin"/>
      </w:r>
      <w:r>
        <w:rPr>
          <w:highlight w:val="yellow"/>
        </w:rPr>
        <w:instrText xml:space="preserve"> TOC \o "1-3" </w:instrText>
      </w:r>
      <w:r>
        <w:rPr>
          <w:highlight w:val="yellow"/>
        </w:rPr>
        <w:fldChar w:fldCharType="separate"/>
      </w:r>
      <w:r w:rsidR="007016C5">
        <w:rPr>
          <w:noProof/>
        </w:rPr>
        <w:t>1</w:t>
      </w:r>
      <w:r w:rsidR="007016C5">
        <w:rPr>
          <w:rFonts w:asciiTheme="minorHAnsi" w:eastAsiaTheme="minorEastAsia" w:hAnsiTheme="minorHAnsi" w:cstheme="minorBidi"/>
          <w:b w:val="0"/>
          <w:bCs w:val="0"/>
          <w:caps w:val="0"/>
          <w:noProof/>
          <w:sz w:val="22"/>
          <w:szCs w:val="22"/>
        </w:rPr>
        <w:tab/>
      </w:r>
      <w:r w:rsidR="007016C5">
        <w:rPr>
          <w:noProof/>
        </w:rPr>
        <w:t>Scope, Purpose, &amp; Application</w:t>
      </w:r>
      <w:r w:rsidR="007016C5">
        <w:rPr>
          <w:noProof/>
        </w:rPr>
        <w:tab/>
      </w:r>
      <w:r w:rsidR="007016C5">
        <w:rPr>
          <w:noProof/>
        </w:rPr>
        <w:fldChar w:fldCharType="begin"/>
      </w:r>
      <w:r w:rsidR="007016C5">
        <w:rPr>
          <w:noProof/>
        </w:rPr>
        <w:instrText xml:space="preserve"> PAGEREF _Toc70429006 \h </w:instrText>
      </w:r>
      <w:r w:rsidR="007016C5">
        <w:rPr>
          <w:noProof/>
        </w:rPr>
      </w:r>
      <w:r w:rsidR="007016C5">
        <w:rPr>
          <w:noProof/>
        </w:rPr>
        <w:fldChar w:fldCharType="separate"/>
      </w:r>
      <w:r w:rsidR="007016C5">
        <w:rPr>
          <w:noProof/>
        </w:rPr>
        <w:t>1</w:t>
      </w:r>
      <w:r w:rsidR="007016C5">
        <w:rPr>
          <w:noProof/>
        </w:rPr>
        <w:fldChar w:fldCharType="end"/>
      </w:r>
    </w:p>
    <w:p w14:paraId="1B34B778" w14:textId="54468385" w:rsidR="007016C5" w:rsidRDefault="007016C5">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Scope</w:t>
      </w:r>
      <w:r>
        <w:rPr>
          <w:noProof/>
        </w:rPr>
        <w:tab/>
      </w:r>
      <w:r>
        <w:rPr>
          <w:noProof/>
        </w:rPr>
        <w:fldChar w:fldCharType="begin"/>
      </w:r>
      <w:r>
        <w:rPr>
          <w:noProof/>
        </w:rPr>
        <w:instrText xml:space="preserve"> PAGEREF _Toc70429007 \h </w:instrText>
      </w:r>
      <w:r>
        <w:rPr>
          <w:noProof/>
        </w:rPr>
      </w:r>
      <w:r>
        <w:rPr>
          <w:noProof/>
        </w:rPr>
        <w:fldChar w:fldCharType="separate"/>
      </w:r>
      <w:r>
        <w:rPr>
          <w:noProof/>
        </w:rPr>
        <w:t>1</w:t>
      </w:r>
      <w:r>
        <w:rPr>
          <w:noProof/>
        </w:rPr>
        <w:fldChar w:fldCharType="end"/>
      </w:r>
    </w:p>
    <w:p w14:paraId="506F3815" w14:textId="4C9931B6" w:rsidR="007016C5" w:rsidRDefault="007016C5">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Purpose</w:t>
      </w:r>
      <w:r>
        <w:rPr>
          <w:noProof/>
        </w:rPr>
        <w:tab/>
      </w:r>
      <w:r>
        <w:rPr>
          <w:noProof/>
        </w:rPr>
        <w:fldChar w:fldCharType="begin"/>
      </w:r>
      <w:r>
        <w:rPr>
          <w:noProof/>
        </w:rPr>
        <w:instrText xml:space="preserve"> PAGEREF _Toc70429008 \h </w:instrText>
      </w:r>
      <w:r>
        <w:rPr>
          <w:noProof/>
        </w:rPr>
      </w:r>
      <w:r>
        <w:rPr>
          <w:noProof/>
        </w:rPr>
        <w:fldChar w:fldCharType="separate"/>
      </w:r>
      <w:r>
        <w:rPr>
          <w:noProof/>
        </w:rPr>
        <w:t>1</w:t>
      </w:r>
      <w:r>
        <w:rPr>
          <w:noProof/>
        </w:rPr>
        <w:fldChar w:fldCharType="end"/>
      </w:r>
    </w:p>
    <w:p w14:paraId="55C74E07" w14:textId="007AED64" w:rsidR="007016C5" w:rsidRDefault="007016C5">
      <w:pPr>
        <w:pStyle w:val="TOC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Normative References</w:t>
      </w:r>
      <w:r>
        <w:rPr>
          <w:noProof/>
        </w:rPr>
        <w:tab/>
      </w:r>
      <w:r>
        <w:rPr>
          <w:noProof/>
        </w:rPr>
        <w:fldChar w:fldCharType="begin"/>
      </w:r>
      <w:r>
        <w:rPr>
          <w:noProof/>
        </w:rPr>
        <w:instrText xml:space="preserve"> PAGEREF _Toc70429009 \h </w:instrText>
      </w:r>
      <w:r>
        <w:rPr>
          <w:noProof/>
        </w:rPr>
      </w:r>
      <w:r>
        <w:rPr>
          <w:noProof/>
        </w:rPr>
        <w:fldChar w:fldCharType="separate"/>
      </w:r>
      <w:r>
        <w:rPr>
          <w:noProof/>
        </w:rPr>
        <w:t>2</w:t>
      </w:r>
      <w:r>
        <w:rPr>
          <w:noProof/>
        </w:rPr>
        <w:fldChar w:fldCharType="end"/>
      </w:r>
    </w:p>
    <w:p w14:paraId="5A09388F" w14:textId="69C1EAC4" w:rsidR="007016C5" w:rsidRDefault="007016C5">
      <w:pPr>
        <w:pStyle w:val="TOC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Definitions, Acronyms, &amp; Abbreviations</w:t>
      </w:r>
      <w:r>
        <w:rPr>
          <w:noProof/>
        </w:rPr>
        <w:tab/>
      </w:r>
      <w:r>
        <w:rPr>
          <w:noProof/>
        </w:rPr>
        <w:fldChar w:fldCharType="begin"/>
      </w:r>
      <w:r>
        <w:rPr>
          <w:noProof/>
        </w:rPr>
        <w:instrText xml:space="preserve"> PAGEREF _Toc70429010 \h </w:instrText>
      </w:r>
      <w:r>
        <w:rPr>
          <w:noProof/>
        </w:rPr>
      </w:r>
      <w:r>
        <w:rPr>
          <w:noProof/>
        </w:rPr>
        <w:fldChar w:fldCharType="separate"/>
      </w:r>
      <w:r>
        <w:rPr>
          <w:noProof/>
        </w:rPr>
        <w:t>2</w:t>
      </w:r>
      <w:r>
        <w:rPr>
          <w:noProof/>
        </w:rPr>
        <w:fldChar w:fldCharType="end"/>
      </w:r>
    </w:p>
    <w:p w14:paraId="2ECBB3DF" w14:textId="7CDA3DBC" w:rsidR="007016C5" w:rsidRDefault="007016C5">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_Toc70429011 \h </w:instrText>
      </w:r>
      <w:r>
        <w:rPr>
          <w:noProof/>
        </w:rPr>
      </w:r>
      <w:r>
        <w:rPr>
          <w:noProof/>
        </w:rPr>
        <w:fldChar w:fldCharType="separate"/>
      </w:r>
      <w:r>
        <w:rPr>
          <w:noProof/>
        </w:rPr>
        <w:t>2</w:t>
      </w:r>
      <w:r>
        <w:rPr>
          <w:noProof/>
        </w:rPr>
        <w:fldChar w:fldCharType="end"/>
      </w:r>
    </w:p>
    <w:p w14:paraId="57C03765" w14:textId="0B0B8740" w:rsidR="007016C5" w:rsidRDefault="007016C5">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Acronyms &amp; Abbreviations</w:t>
      </w:r>
      <w:r>
        <w:rPr>
          <w:noProof/>
        </w:rPr>
        <w:tab/>
      </w:r>
      <w:r>
        <w:rPr>
          <w:noProof/>
        </w:rPr>
        <w:fldChar w:fldCharType="begin"/>
      </w:r>
      <w:r>
        <w:rPr>
          <w:noProof/>
        </w:rPr>
        <w:instrText xml:space="preserve"> PAGEREF _Toc70429012 \h </w:instrText>
      </w:r>
      <w:r>
        <w:rPr>
          <w:noProof/>
        </w:rPr>
      </w:r>
      <w:r>
        <w:rPr>
          <w:noProof/>
        </w:rPr>
        <w:fldChar w:fldCharType="separate"/>
      </w:r>
      <w:r>
        <w:rPr>
          <w:noProof/>
        </w:rPr>
        <w:t>4</w:t>
      </w:r>
      <w:r>
        <w:rPr>
          <w:noProof/>
        </w:rPr>
        <w:fldChar w:fldCharType="end"/>
      </w:r>
    </w:p>
    <w:p w14:paraId="0419FF2D" w14:textId="5239ADE3" w:rsidR="007016C5" w:rsidRDefault="007016C5">
      <w:pPr>
        <w:pStyle w:val="TOC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Background</w:t>
      </w:r>
      <w:r>
        <w:rPr>
          <w:noProof/>
        </w:rPr>
        <w:tab/>
      </w:r>
      <w:r>
        <w:rPr>
          <w:noProof/>
        </w:rPr>
        <w:fldChar w:fldCharType="begin"/>
      </w:r>
      <w:r>
        <w:rPr>
          <w:noProof/>
        </w:rPr>
        <w:instrText xml:space="preserve"> PAGEREF _Toc70429013 \h </w:instrText>
      </w:r>
      <w:r>
        <w:rPr>
          <w:noProof/>
        </w:rPr>
      </w:r>
      <w:r>
        <w:rPr>
          <w:noProof/>
        </w:rPr>
        <w:fldChar w:fldCharType="separate"/>
      </w:r>
      <w:r>
        <w:rPr>
          <w:noProof/>
        </w:rPr>
        <w:t>6</w:t>
      </w:r>
      <w:r>
        <w:rPr>
          <w:noProof/>
        </w:rPr>
        <w:fldChar w:fldCharType="end"/>
      </w:r>
    </w:p>
    <w:p w14:paraId="745F20E2" w14:textId="050CA9EA" w:rsidR="007016C5" w:rsidRDefault="007016C5">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NANC CATA Working Group 2</w:t>
      </w:r>
      <w:r>
        <w:rPr>
          <w:noProof/>
        </w:rPr>
        <w:tab/>
      </w:r>
      <w:r>
        <w:rPr>
          <w:noProof/>
        </w:rPr>
        <w:fldChar w:fldCharType="begin"/>
      </w:r>
      <w:r>
        <w:rPr>
          <w:noProof/>
        </w:rPr>
        <w:instrText xml:space="preserve"> PAGEREF _Toc70429014 \h </w:instrText>
      </w:r>
      <w:r>
        <w:rPr>
          <w:noProof/>
        </w:rPr>
      </w:r>
      <w:r>
        <w:rPr>
          <w:noProof/>
        </w:rPr>
        <w:fldChar w:fldCharType="separate"/>
      </w:r>
      <w:r>
        <w:rPr>
          <w:noProof/>
        </w:rPr>
        <w:t>6</w:t>
      </w:r>
      <w:r>
        <w:rPr>
          <w:noProof/>
        </w:rPr>
        <w:fldChar w:fldCharType="end"/>
      </w:r>
    </w:p>
    <w:p w14:paraId="007D7F82" w14:textId="087A5C2A" w:rsidR="007016C5" w:rsidRDefault="007016C5">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Technical Reports: International SHAKEN</w:t>
      </w:r>
      <w:r>
        <w:rPr>
          <w:noProof/>
        </w:rPr>
        <w:tab/>
      </w:r>
      <w:r>
        <w:rPr>
          <w:noProof/>
        </w:rPr>
        <w:fldChar w:fldCharType="begin"/>
      </w:r>
      <w:r>
        <w:rPr>
          <w:noProof/>
        </w:rPr>
        <w:instrText xml:space="preserve"> PAGEREF _Toc70429015 \h </w:instrText>
      </w:r>
      <w:r>
        <w:rPr>
          <w:noProof/>
        </w:rPr>
      </w:r>
      <w:r>
        <w:rPr>
          <w:noProof/>
        </w:rPr>
        <w:fldChar w:fldCharType="separate"/>
      </w:r>
      <w:r>
        <w:rPr>
          <w:noProof/>
        </w:rPr>
        <w:t>7</w:t>
      </w:r>
      <w:r>
        <w:rPr>
          <w:noProof/>
        </w:rPr>
        <w:fldChar w:fldCharType="end"/>
      </w:r>
    </w:p>
    <w:p w14:paraId="69914603" w14:textId="2CE74006" w:rsidR="007016C5" w:rsidRDefault="007016C5">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4.2.1</w:t>
      </w:r>
      <w:r>
        <w:rPr>
          <w:rFonts w:asciiTheme="minorHAnsi" w:eastAsiaTheme="minorEastAsia" w:hAnsiTheme="minorHAnsi" w:cstheme="minorBidi"/>
          <w:i w:val="0"/>
          <w:iCs w:val="0"/>
          <w:noProof/>
          <w:sz w:val="22"/>
          <w:szCs w:val="22"/>
        </w:rPr>
        <w:tab/>
      </w:r>
      <w:r>
        <w:rPr>
          <w:noProof/>
        </w:rPr>
        <w:t>IP-NNI</w:t>
      </w:r>
      <w:r>
        <w:rPr>
          <w:noProof/>
        </w:rPr>
        <w:tab/>
      </w:r>
      <w:r>
        <w:rPr>
          <w:noProof/>
        </w:rPr>
        <w:fldChar w:fldCharType="begin"/>
      </w:r>
      <w:r>
        <w:rPr>
          <w:noProof/>
        </w:rPr>
        <w:instrText xml:space="preserve"> PAGEREF _Toc70429016 \h </w:instrText>
      </w:r>
      <w:r>
        <w:rPr>
          <w:noProof/>
        </w:rPr>
      </w:r>
      <w:r>
        <w:rPr>
          <w:noProof/>
        </w:rPr>
        <w:fldChar w:fldCharType="separate"/>
      </w:r>
      <w:r>
        <w:rPr>
          <w:noProof/>
        </w:rPr>
        <w:t>7</w:t>
      </w:r>
      <w:r>
        <w:rPr>
          <w:noProof/>
        </w:rPr>
        <w:fldChar w:fldCharType="end"/>
      </w:r>
    </w:p>
    <w:p w14:paraId="0537CC3E" w14:textId="3C2A1469" w:rsidR="007016C5" w:rsidRDefault="007016C5">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4.2.2</w:t>
      </w:r>
      <w:r>
        <w:rPr>
          <w:rFonts w:asciiTheme="minorHAnsi" w:eastAsiaTheme="minorEastAsia" w:hAnsiTheme="minorHAnsi" w:cstheme="minorBidi"/>
          <w:i w:val="0"/>
          <w:iCs w:val="0"/>
          <w:noProof/>
          <w:sz w:val="22"/>
          <w:szCs w:val="22"/>
        </w:rPr>
        <w:tab/>
      </w:r>
      <w:r>
        <w:rPr>
          <w:noProof/>
        </w:rPr>
        <w:t>ATIS’ Non-IP Call Authentication Task Force</w:t>
      </w:r>
      <w:r>
        <w:rPr>
          <w:noProof/>
        </w:rPr>
        <w:tab/>
      </w:r>
      <w:r>
        <w:rPr>
          <w:noProof/>
        </w:rPr>
        <w:fldChar w:fldCharType="begin"/>
      </w:r>
      <w:r>
        <w:rPr>
          <w:noProof/>
        </w:rPr>
        <w:instrText xml:space="preserve"> PAGEREF _Toc70429017 \h </w:instrText>
      </w:r>
      <w:r>
        <w:rPr>
          <w:noProof/>
        </w:rPr>
      </w:r>
      <w:r>
        <w:rPr>
          <w:noProof/>
        </w:rPr>
        <w:fldChar w:fldCharType="separate"/>
      </w:r>
      <w:r>
        <w:rPr>
          <w:noProof/>
        </w:rPr>
        <w:t>8</w:t>
      </w:r>
      <w:r>
        <w:rPr>
          <w:noProof/>
        </w:rPr>
        <w:fldChar w:fldCharType="end"/>
      </w:r>
    </w:p>
    <w:p w14:paraId="48A31BB9" w14:textId="1577BFBC" w:rsidR="007016C5" w:rsidRDefault="007016C5">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4.2.3</w:t>
      </w:r>
      <w:r>
        <w:rPr>
          <w:rFonts w:asciiTheme="minorHAnsi" w:eastAsiaTheme="minorEastAsia" w:hAnsiTheme="minorHAnsi" w:cstheme="minorBidi"/>
          <w:i w:val="0"/>
          <w:iCs w:val="0"/>
          <w:noProof/>
          <w:sz w:val="22"/>
          <w:szCs w:val="22"/>
        </w:rPr>
        <w:tab/>
      </w:r>
      <w:r>
        <w:rPr>
          <w:noProof/>
        </w:rPr>
        <w:t>Applying full attestation at the international border</w:t>
      </w:r>
      <w:r>
        <w:rPr>
          <w:noProof/>
        </w:rPr>
        <w:tab/>
      </w:r>
      <w:r>
        <w:rPr>
          <w:noProof/>
        </w:rPr>
        <w:fldChar w:fldCharType="begin"/>
      </w:r>
      <w:r>
        <w:rPr>
          <w:noProof/>
        </w:rPr>
        <w:instrText xml:space="preserve"> PAGEREF _Toc70429018 \h </w:instrText>
      </w:r>
      <w:r>
        <w:rPr>
          <w:noProof/>
        </w:rPr>
      </w:r>
      <w:r>
        <w:rPr>
          <w:noProof/>
        </w:rPr>
        <w:fldChar w:fldCharType="separate"/>
      </w:r>
      <w:r>
        <w:rPr>
          <w:noProof/>
        </w:rPr>
        <w:t>8</w:t>
      </w:r>
      <w:r>
        <w:rPr>
          <w:noProof/>
        </w:rPr>
        <w:fldChar w:fldCharType="end"/>
      </w:r>
    </w:p>
    <w:p w14:paraId="346B60B3" w14:textId="44E23D31" w:rsidR="007016C5" w:rsidRDefault="007016C5">
      <w:pPr>
        <w:pStyle w:val="TOC1"/>
        <w:rPr>
          <w:rFonts w:asciiTheme="minorHAnsi" w:eastAsiaTheme="minorEastAsia" w:hAnsiTheme="minorHAnsi" w:cstheme="minorBidi"/>
          <w:b w:val="0"/>
          <w:bCs w:val="0"/>
          <w:caps w:val="0"/>
          <w:noProof/>
          <w:sz w:val="22"/>
          <w:szCs w:val="22"/>
        </w:rPr>
      </w:pPr>
      <w:r>
        <w:rPr>
          <w:noProof/>
        </w:rPr>
        <w:t>5</w:t>
      </w:r>
      <w:r>
        <w:rPr>
          <w:rFonts w:asciiTheme="minorHAnsi" w:eastAsiaTheme="minorEastAsia" w:hAnsiTheme="minorHAnsi" w:cstheme="minorBidi"/>
          <w:b w:val="0"/>
          <w:bCs w:val="0"/>
          <w:caps w:val="0"/>
          <w:noProof/>
          <w:sz w:val="22"/>
          <w:szCs w:val="22"/>
        </w:rPr>
        <w:tab/>
      </w:r>
      <w:r>
        <w:rPr>
          <w:noProof/>
        </w:rPr>
        <w:t>Use Cases</w:t>
      </w:r>
      <w:r>
        <w:rPr>
          <w:noProof/>
        </w:rPr>
        <w:tab/>
      </w:r>
      <w:r>
        <w:rPr>
          <w:noProof/>
        </w:rPr>
        <w:fldChar w:fldCharType="begin"/>
      </w:r>
      <w:r>
        <w:rPr>
          <w:noProof/>
        </w:rPr>
        <w:instrText xml:space="preserve"> PAGEREF _Toc70429019 \h </w:instrText>
      </w:r>
      <w:r>
        <w:rPr>
          <w:noProof/>
        </w:rPr>
      </w:r>
      <w:r>
        <w:rPr>
          <w:noProof/>
        </w:rPr>
        <w:fldChar w:fldCharType="separate"/>
      </w:r>
      <w:r>
        <w:rPr>
          <w:noProof/>
        </w:rPr>
        <w:t>8</w:t>
      </w:r>
      <w:r>
        <w:rPr>
          <w:noProof/>
        </w:rPr>
        <w:fldChar w:fldCharType="end"/>
      </w:r>
    </w:p>
    <w:p w14:paraId="16697A5D" w14:textId="42FFBED1" w:rsidR="007016C5" w:rsidRDefault="007016C5">
      <w:pPr>
        <w:pStyle w:val="TOC1"/>
        <w:rPr>
          <w:rFonts w:asciiTheme="minorHAnsi" w:eastAsiaTheme="minorEastAsia" w:hAnsiTheme="minorHAnsi" w:cstheme="minorBidi"/>
          <w:b w:val="0"/>
          <w:bCs w:val="0"/>
          <w:caps w:val="0"/>
          <w:noProof/>
          <w:sz w:val="22"/>
          <w:szCs w:val="22"/>
        </w:rPr>
      </w:pPr>
      <w:r>
        <w:rPr>
          <w:noProof/>
        </w:rPr>
        <w:t>6</w:t>
      </w:r>
      <w:r>
        <w:rPr>
          <w:rFonts w:asciiTheme="minorHAnsi" w:eastAsiaTheme="minorEastAsia" w:hAnsiTheme="minorHAnsi" w:cstheme="minorBidi"/>
          <w:b w:val="0"/>
          <w:bCs w:val="0"/>
          <w:caps w:val="0"/>
          <w:noProof/>
          <w:sz w:val="22"/>
          <w:szCs w:val="22"/>
        </w:rPr>
        <w:tab/>
      </w:r>
      <w:r>
        <w:rPr>
          <w:noProof/>
        </w:rPr>
        <w:t>Best Practices</w:t>
      </w:r>
      <w:r>
        <w:rPr>
          <w:noProof/>
        </w:rPr>
        <w:tab/>
      </w:r>
      <w:r>
        <w:rPr>
          <w:noProof/>
        </w:rPr>
        <w:fldChar w:fldCharType="begin"/>
      </w:r>
      <w:r>
        <w:rPr>
          <w:noProof/>
        </w:rPr>
        <w:instrText xml:space="preserve"> PAGEREF _Toc70429020 \h </w:instrText>
      </w:r>
      <w:r>
        <w:rPr>
          <w:noProof/>
        </w:rPr>
      </w:r>
      <w:r>
        <w:rPr>
          <w:noProof/>
        </w:rPr>
        <w:fldChar w:fldCharType="separate"/>
      </w:r>
      <w:r>
        <w:rPr>
          <w:noProof/>
        </w:rPr>
        <w:t>9</w:t>
      </w:r>
      <w:r>
        <w:rPr>
          <w:noProof/>
        </w:rPr>
        <w:fldChar w:fldCharType="end"/>
      </w:r>
    </w:p>
    <w:p w14:paraId="6787F243" w14:textId="612E2E92" w:rsidR="007016C5" w:rsidRDefault="007016C5">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Analysis of options:</w:t>
      </w:r>
      <w:r>
        <w:rPr>
          <w:noProof/>
        </w:rPr>
        <w:tab/>
      </w:r>
      <w:r>
        <w:rPr>
          <w:noProof/>
        </w:rPr>
        <w:fldChar w:fldCharType="begin"/>
      </w:r>
      <w:r>
        <w:rPr>
          <w:noProof/>
        </w:rPr>
        <w:instrText xml:space="preserve"> PAGEREF _Toc70429021 \h </w:instrText>
      </w:r>
      <w:r>
        <w:rPr>
          <w:noProof/>
        </w:rPr>
      </w:r>
      <w:r>
        <w:rPr>
          <w:noProof/>
        </w:rPr>
        <w:fldChar w:fldCharType="separate"/>
      </w:r>
      <w:r>
        <w:rPr>
          <w:noProof/>
        </w:rPr>
        <w:t>9</w:t>
      </w:r>
      <w:r>
        <w:rPr>
          <w:noProof/>
        </w:rPr>
        <w:fldChar w:fldCharType="end"/>
      </w:r>
    </w:p>
    <w:p w14:paraId="6565E22F" w14:textId="5F41038C" w:rsidR="007016C5" w:rsidRDefault="007016C5">
      <w:pPr>
        <w:pStyle w:val="TOC1"/>
        <w:rPr>
          <w:rFonts w:asciiTheme="minorHAnsi" w:eastAsiaTheme="minorEastAsia" w:hAnsiTheme="minorHAnsi" w:cstheme="minorBidi"/>
          <w:b w:val="0"/>
          <w:bCs w:val="0"/>
          <w:caps w:val="0"/>
          <w:noProof/>
          <w:sz w:val="22"/>
          <w:szCs w:val="22"/>
        </w:rPr>
      </w:pPr>
      <w:r>
        <w:rPr>
          <w:noProof/>
        </w:rPr>
        <w:t>7</w:t>
      </w:r>
      <w:r>
        <w:rPr>
          <w:rFonts w:asciiTheme="minorHAnsi" w:eastAsiaTheme="minorEastAsia" w:hAnsiTheme="minorHAnsi" w:cstheme="minorBidi"/>
          <w:b w:val="0"/>
          <w:bCs w:val="0"/>
          <w:caps w:val="0"/>
          <w:noProof/>
          <w:sz w:val="22"/>
          <w:szCs w:val="22"/>
        </w:rPr>
        <w:tab/>
      </w:r>
      <w:r>
        <w:rPr>
          <w:noProof/>
        </w:rPr>
        <w:t>Recommendation</w:t>
      </w:r>
      <w:r>
        <w:rPr>
          <w:noProof/>
        </w:rPr>
        <w:tab/>
      </w:r>
      <w:r>
        <w:rPr>
          <w:noProof/>
        </w:rPr>
        <w:fldChar w:fldCharType="begin"/>
      </w:r>
      <w:r>
        <w:rPr>
          <w:noProof/>
        </w:rPr>
        <w:instrText xml:space="preserve"> PAGEREF _Toc70429022 \h </w:instrText>
      </w:r>
      <w:r>
        <w:rPr>
          <w:noProof/>
        </w:rPr>
      </w:r>
      <w:r>
        <w:rPr>
          <w:noProof/>
        </w:rPr>
        <w:fldChar w:fldCharType="separate"/>
      </w:r>
      <w:r>
        <w:rPr>
          <w:noProof/>
        </w:rPr>
        <w:t>10</w:t>
      </w:r>
      <w:r>
        <w:rPr>
          <w:noProof/>
        </w:rPr>
        <w:fldChar w:fldCharType="end"/>
      </w:r>
    </w:p>
    <w:p w14:paraId="3C7EC389" w14:textId="1EECC8A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108A5566" w14:textId="482832ED" w:rsidR="00F94E60"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F94E60">
        <w:rPr>
          <w:noProof/>
        </w:rPr>
        <w:t>Figure 1.  Delegate Certificate Management Flow</w:t>
      </w:r>
      <w:r w:rsidR="00F94E60">
        <w:rPr>
          <w:noProof/>
        </w:rPr>
        <w:tab/>
      </w:r>
      <w:r w:rsidR="00F94E60">
        <w:rPr>
          <w:noProof/>
        </w:rPr>
        <w:fldChar w:fldCharType="begin"/>
      </w:r>
      <w:r w:rsidR="00F94E60">
        <w:rPr>
          <w:noProof/>
        </w:rPr>
        <w:instrText xml:space="preserve"> PAGEREF _Toc55841698 \h </w:instrText>
      </w:r>
      <w:r w:rsidR="00F94E60">
        <w:rPr>
          <w:noProof/>
        </w:rPr>
      </w:r>
      <w:r w:rsidR="00F94E60">
        <w:rPr>
          <w:noProof/>
        </w:rPr>
        <w:fldChar w:fldCharType="separate"/>
      </w:r>
      <w:r w:rsidR="00F94E60">
        <w:rPr>
          <w:noProof/>
        </w:rPr>
        <w:t>7</w:t>
      </w:r>
      <w:r w:rsidR="00F94E60">
        <w:rPr>
          <w:noProof/>
        </w:rPr>
        <w:fldChar w:fldCharType="end"/>
      </w:r>
    </w:p>
    <w:p w14:paraId="14511E36" w14:textId="25FAE4CD"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70429006"/>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70429007"/>
      <w:r>
        <w:t>Scope</w:t>
      </w:r>
      <w:bookmarkEnd w:id="33"/>
      <w:bookmarkEnd w:id="34"/>
    </w:p>
    <w:p w14:paraId="4DDDB6AD" w14:textId="48AFB7B5" w:rsidR="00654B9C" w:rsidRDefault="005C01BA" w:rsidP="00DF2A42">
      <w:r>
        <w:t>This specification extends the SHAKEN</w:t>
      </w:r>
      <w:r w:rsidR="00F77C3D">
        <w:t>.</w:t>
      </w:r>
      <w:r w:rsidR="00532C72">
        <w:t xml:space="preserve"> </w:t>
      </w:r>
    </w:p>
    <w:p w14:paraId="7F53B7EA" w14:textId="69AD339C" w:rsidR="00305D4A" w:rsidRDefault="00424AF1" w:rsidP="00C10B26">
      <w:pPr>
        <w:pStyle w:val="Heading2"/>
      </w:pPr>
      <w:bookmarkStart w:id="35" w:name="_Toc380754203"/>
      <w:bookmarkStart w:id="36" w:name="_Toc70429008"/>
      <w:r>
        <w:t>Purpose</w:t>
      </w:r>
      <w:bookmarkEnd w:id="35"/>
      <w:bookmarkEnd w:id="36"/>
    </w:p>
    <w:p w14:paraId="766C2809" w14:textId="00867C6F" w:rsidR="00CA65CA" w:rsidRDefault="00EC330C" w:rsidP="00AA1764">
      <w:r>
        <w:t xml:space="preserve">The purpose of the SHAKEN </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41B0A2F2" w:rsidR="00424AF1" w:rsidRDefault="007D56E0" w:rsidP="00FC736B">
      <w:pPr>
        <w:pStyle w:val="Heading1"/>
      </w:pPr>
      <w:r>
        <w:br w:type="page"/>
      </w:r>
      <w:bookmarkStart w:id="37" w:name="_Toc380754204"/>
      <w:bookmarkStart w:id="38" w:name="_Toc70429009"/>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r w:rsidRPr="00C97685">
        <w:rPr>
          <w:i/>
        </w:rPr>
        <w:t>PASSporT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r w:rsidRPr="00C97685">
        <w:rPr>
          <w:i/>
        </w:rPr>
        <w:t>PASSporT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r>
        <w:t>draft-</w:t>
      </w:r>
      <w:proofErr w:type="spellStart"/>
      <w:r>
        <w:t>ietf</w:t>
      </w:r>
      <w:proofErr w:type="spellEnd"/>
      <w:r>
        <w:t>-stir-</w:t>
      </w:r>
      <w:r w:rsidR="004657F9">
        <w:t>cert</w:t>
      </w:r>
      <w:r w:rsidR="002F3609">
        <w:t>-delegation</w:t>
      </w:r>
      <w:r>
        <w:t>,</w:t>
      </w:r>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70429010"/>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70429011"/>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 xml:space="preserve">A non-STI-authorized customer entity that purchases (or otherwise obtains) delegated telephone numbers from a </w:t>
      </w:r>
      <w:proofErr w:type="gramStart"/>
      <w:r w:rsidRPr="00086631">
        <w:t>TNSP</w:t>
      </w:r>
      <w:proofErr w:type="gramEnd"/>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70429012"/>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65F4222D" w:rsidR="001F2162" w:rsidRDefault="00805FE5" w:rsidP="00FC736B">
      <w:pPr>
        <w:pStyle w:val="Heading1"/>
      </w:pPr>
      <w:r>
        <w:br w:type="page"/>
      </w:r>
      <w:bookmarkStart w:id="45" w:name="_Toc70429013"/>
      <w:r w:rsidR="000A320D">
        <w:lastRenderedPageBreak/>
        <w:t>Background</w:t>
      </w:r>
      <w:bookmarkEnd w:id="45"/>
    </w:p>
    <w:p w14:paraId="7DE807E1" w14:textId="697DB4BF" w:rsidR="0040624D" w:rsidRDefault="00A24AF7" w:rsidP="006004F9">
      <w:pPr>
        <w:pStyle w:val="Heading2"/>
      </w:pPr>
      <w:bookmarkStart w:id="46" w:name="_Toc70429014"/>
      <w:r>
        <w:t xml:space="preserve">NANC CATA </w:t>
      </w:r>
      <w:r w:rsidR="008D4357">
        <w:t>W</w:t>
      </w:r>
      <w:r>
        <w:t xml:space="preserve">orking </w:t>
      </w:r>
      <w:r w:rsidR="008D4357">
        <w:t>G</w:t>
      </w:r>
      <w:r>
        <w:t>roup 2</w:t>
      </w:r>
      <w:bookmarkEnd w:id="46"/>
    </w:p>
    <w:p w14:paraId="28BE4E75" w14:textId="7181069F" w:rsidR="00862BE2" w:rsidRDefault="000F5071" w:rsidP="00862BE2">
      <w:r>
        <w:t xml:space="preserve">The </w:t>
      </w:r>
      <w:r w:rsidR="007F7157">
        <w:t xml:space="preserve">NANC </w:t>
      </w:r>
      <w:r>
        <w:t>CATA working group</w:t>
      </w:r>
      <w:r w:rsidR="007F7157">
        <w:t xml:space="preserve"> 2 in 2020 provided guidance to the FCC in its report relative to international gateways and identification of international subscribers.  The following is an excerpt from the report:</w:t>
      </w:r>
    </w:p>
    <w:p w14:paraId="125AC42B" w14:textId="3F245A85" w:rsidR="007F7157" w:rsidRDefault="007F7157" w:rsidP="00862BE2"/>
    <w:p w14:paraId="69D94265" w14:textId="77777777" w:rsidR="007F7157" w:rsidRPr="007F7157" w:rsidRDefault="007F7157" w:rsidP="007F7157">
      <w:pPr>
        <w:ind w:left="720"/>
      </w:pPr>
      <w:r w:rsidRPr="007F7157">
        <w:rPr>
          <w:b/>
          <w:bCs/>
        </w:rPr>
        <w:t xml:space="preserve">Identification of international subscribers </w:t>
      </w:r>
    </w:p>
    <w:p w14:paraId="4ED51ADF" w14:textId="77777777" w:rsidR="007F7157" w:rsidRPr="007F7157" w:rsidRDefault="007F7157" w:rsidP="007F7157">
      <w:pPr>
        <w:ind w:left="720"/>
      </w:pPr>
      <w:r w:rsidRPr="007F7157">
        <w:t xml:space="preserve">For internationally originated calls, there is a desire for other countries to adopt corresponding STIR/SHAKEN, STI-GA and STI-PA ecosystems that provide authorized digital signatures, endorsed by local regulatory </w:t>
      </w:r>
      <w:proofErr w:type="gramStart"/>
      <w:r w:rsidRPr="007F7157">
        <w:t>agencies</w:t>
      </w:r>
      <w:proofErr w:type="gramEnd"/>
      <w:r w:rsidRPr="007F7157">
        <w:t xml:space="preserve"> and coordinated through cross-border efforts being discussed in the Joint ATIS/SIP Forum IP-NNI Task Force and other forums. This is </w:t>
      </w:r>
      <w:proofErr w:type="gramStart"/>
      <w:r w:rsidRPr="007F7157">
        <w:t>similar to</w:t>
      </w:r>
      <w:proofErr w:type="gramEnd"/>
      <w:r w:rsidRPr="007F7157">
        <w:t xml:space="preserve"> what is happening between the US and Canada, where there is coordination of providing authorized root certificates specific to a country or region. </w:t>
      </w:r>
    </w:p>
    <w:p w14:paraId="6A09237F" w14:textId="77777777" w:rsidR="007F7157" w:rsidRPr="007F7157" w:rsidRDefault="007F7157" w:rsidP="007F7157">
      <w:pPr>
        <w:ind w:left="720"/>
      </w:pPr>
      <w:r w:rsidRPr="007F7157">
        <w:t xml:space="preserve">In the United States, it is a long-standing problem that international gateway traffic is a significant source of fraudulent traffic. However, both how and where that traffic is coming from is not well defined. Traditionally, an “international gateway” is defined as a network element that specifically translates international call signaling from country specific standards to US provider compatible protocols. As VoIP services have evolved, the use of the term “international gateway” has unfortunately become less well defined. VoIP does not have as many geographic restrictions as non-IP services, which has enabled international entities to send VoIP traffic easily around the world including traffic that may terminate into a US-based provider’s network. Today, it is understood that most of the fraudulent internationally-sourced traffic is coming through domestic telephone application providers and VSPs. Often, this occurs through underground or backdoor types of operations that mainly cater to malicious entities (either international or domestic) that want to terminate traffic with illegally spoofed NANP telephone numbers or illegitimate or invalid numbers. While fraudulent traffic does happen with international calling party telephone numbers coming from the legitimate country of origin, currently the portion of this traffic to the overall fraudulent call volume is relatively small. Based on SP experience, it appears the primary source of the problem may not be “international gateways,” rather, it is VoIP applications, trunks, and wholesale providers that cater to subscribers sourcing traffic from international entities with fraudulent intent. </w:t>
      </w:r>
    </w:p>
    <w:p w14:paraId="7BA3BB24" w14:textId="77777777" w:rsidR="007F7157" w:rsidRPr="007F7157" w:rsidRDefault="007F7157" w:rsidP="007F7157">
      <w:pPr>
        <w:ind w:left="720"/>
      </w:pPr>
      <w:r w:rsidRPr="007F7157">
        <w:t xml:space="preserve">Fraudulent internationally sourced or originated traffic can be separated into the following broad categories: </w:t>
      </w:r>
    </w:p>
    <w:p w14:paraId="534F4585" w14:textId="28D31801" w:rsidR="007F7157" w:rsidRPr="007F7157" w:rsidRDefault="007F7157" w:rsidP="000F1540">
      <w:pPr>
        <w:numPr>
          <w:ilvl w:val="0"/>
          <w:numId w:val="25"/>
        </w:numPr>
        <w:tabs>
          <w:tab w:val="clear" w:pos="720"/>
          <w:tab w:val="num" w:pos="1440"/>
        </w:tabs>
        <w:ind w:left="1440"/>
      </w:pPr>
      <w:proofErr w:type="gramStart"/>
      <w:r w:rsidRPr="007F7157">
        <w:t>Internationally-based</w:t>
      </w:r>
      <w:proofErr w:type="gramEnd"/>
      <w:r w:rsidRPr="007F7157">
        <w:t xml:space="preserve"> companies or individuals sending fraudulent traffic using US-based application, trunking, or wholesale services with spoofed domestic numbers; </w:t>
      </w:r>
    </w:p>
    <w:p w14:paraId="232AD975" w14:textId="310CAABE" w:rsidR="007F7157" w:rsidRPr="007F7157" w:rsidRDefault="007F7157" w:rsidP="000F1540">
      <w:pPr>
        <w:numPr>
          <w:ilvl w:val="0"/>
          <w:numId w:val="25"/>
        </w:numPr>
        <w:tabs>
          <w:tab w:val="clear" w:pos="720"/>
          <w:tab w:val="num" w:pos="1440"/>
        </w:tabs>
        <w:ind w:left="1440"/>
      </w:pPr>
      <w:proofErr w:type="gramStart"/>
      <w:r w:rsidRPr="007F7157">
        <w:t>Internationally-based</w:t>
      </w:r>
      <w:proofErr w:type="gramEnd"/>
      <w:r w:rsidRPr="007F7157">
        <w:t xml:space="preserve"> companies or individuals sending fraudulent traffic using US-based application, trunking, or wholesale services with spoofed international numbers; </w:t>
      </w:r>
    </w:p>
    <w:p w14:paraId="3DE524B0" w14:textId="16B69EF7"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internationally based application, trunking, or wholesale services with spoofed domestic numbers; or </w:t>
      </w:r>
    </w:p>
    <w:p w14:paraId="1ABD3CD8" w14:textId="4A523C2D" w:rsidR="007F7157" w:rsidRPr="007F7157" w:rsidRDefault="007F7157" w:rsidP="000F1540">
      <w:pPr>
        <w:numPr>
          <w:ilvl w:val="0"/>
          <w:numId w:val="25"/>
        </w:numPr>
        <w:tabs>
          <w:tab w:val="clear" w:pos="720"/>
          <w:tab w:val="num" w:pos="1440"/>
        </w:tabs>
        <w:ind w:left="1440"/>
      </w:pPr>
      <w:r w:rsidRPr="007F7157">
        <w:t xml:space="preserve">Internationally-based companies or individuals sending fraudulent traffic using internationally based application, trunking, or wholesale services with spoofed international numbers. </w:t>
      </w:r>
    </w:p>
    <w:p w14:paraId="68D3FA31" w14:textId="77777777" w:rsidR="007F7157" w:rsidRPr="007F7157" w:rsidRDefault="007F7157" w:rsidP="000F1540">
      <w:pPr>
        <w:numPr>
          <w:ilvl w:val="0"/>
          <w:numId w:val="25"/>
        </w:numPr>
        <w:tabs>
          <w:tab w:val="clear" w:pos="720"/>
          <w:tab w:val="num" w:pos="1440"/>
        </w:tabs>
        <w:ind w:left="1440"/>
      </w:pPr>
      <w:r w:rsidRPr="007F7157">
        <w:t xml:space="preserve">Best practices for these use cases could utilize these broad categories to inform specific future practices. </w:t>
      </w:r>
    </w:p>
    <w:p w14:paraId="27320DD5" w14:textId="6D4BBE48" w:rsidR="007F7157" w:rsidRPr="007F7157" w:rsidRDefault="007F7157" w:rsidP="007F7157">
      <w:pPr>
        <w:ind w:left="720"/>
        <w:rPr>
          <w:b/>
          <w:bCs/>
        </w:rPr>
      </w:pPr>
      <w:r w:rsidRPr="007F7157">
        <w:rPr>
          <w:b/>
          <w:bCs/>
        </w:rPr>
        <w:t xml:space="preserve">Alternative mechanisms to assist with interoperability in the absence of STIR/SHAKEN technologies </w:t>
      </w:r>
    </w:p>
    <w:p w14:paraId="46496AA9" w14:textId="77777777" w:rsidR="007F7157" w:rsidRPr="007F7157" w:rsidRDefault="007F7157" w:rsidP="007F7157">
      <w:pPr>
        <w:ind w:left="720"/>
      </w:pPr>
      <w:r w:rsidRPr="007F7157">
        <w:t xml:space="preserve">Best practices for internationally-originated calls using NANP numbers are still evolving, including how to acquire sufficient information to accomplish TN Validation for elevation to “A” attestation. Industry consensus has not yet coalesced on call authentication with less than “A” (full) attestation in some call scenarios. This could include the best practices, as appropriate, endorsed by this working group and explained in this document, including the vetting of customers and the validation of telephone numbers used for the services offered. </w:t>
      </w:r>
    </w:p>
    <w:p w14:paraId="098DBDC6" w14:textId="77777777" w:rsidR="007F7157" w:rsidRPr="007F7157" w:rsidRDefault="007F7157" w:rsidP="007F7157">
      <w:pPr>
        <w:ind w:left="720"/>
      </w:pPr>
      <w:r w:rsidRPr="007F7157">
        <w:t xml:space="preserve">For example, international VSPs have proposed technical and contractual solutions that may enable them to work with domestic carrier partners to apply the full range of SHAKEN attestations to calls originating overseas. This “enhanced international attestation” approach may offer international providers the means </w:t>
      </w:r>
      <w:r w:rsidRPr="007F7157">
        <w:lastRenderedPageBreak/>
        <w:t xml:space="preserve">to deliver more information and value to domestic carriers and consumers than if all calls originating outside the U.S. are assigned a “C”-level </w:t>
      </w:r>
      <w:proofErr w:type="gramStart"/>
      <w:r w:rsidRPr="007F7157">
        <w:t>attestation, or</w:t>
      </w:r>
      <w:proofErr w:type="gramEnd"/>
      <w:r w:rsidRPr="007F7157">
        <w:t xml:space="preserve"> are not authenticated. International providers may enter into voluntary commercial agreements with domestic carriers or intermediate providers capable of assigning the relevant SHAKEN attestation level based on information the international provider has collected from its Customers (as well as its vetting, ordering, and TN validation procedures). Industry stakeholders should be permitted to develop the specific mechanisms or techniques by which they achieve higher levels of fidelity to SHAKEN attestation for international traffic. </w:t>
      </w:r>
    </w:p>
    <w:p w14:paraId="6B92ADC5" w14:textId="77777777" w:rsidR="007F7157" w:rsidRPr="007F7157" w:rsidRDefault="007F7157" w:rsidP="007F7157">
      <w:pPr>
        <w:ind w:left="720"/>
      </w:pPr>
      <w:r w:rsidRPr="007F7157">
        <w:t xml:space="preserve">In one example of this arrangement, international voice traffic could be segmented into separate streams via a multi-trunk approach that correlates to the three attestation levels of SHAKEN—“A” for calls that originated on a provider’s network from numbers assigned to the originating subscriber, “B” for calls that originated on a provider’s network from numbers that were not assigned to the originating subscriber, and “C” for calls that neither originated on a provider’s network nor from numbers assigned to the originating subscriber. Domestic carriers could then rely on information proffered by the international provider to assign the appropriate attestation level and send the traffic either to another downstream provider or to its termination point.9 </w:t>
      </w:r>
    </w:p>
    <w:p w14:paraId="75214F1B" w14:textId="77777777" w:rsidR="007F7157" w:rsidRPr="007F7157" w:rsidRDefault="007F7157" w:rsidP="007F7157">
      <w:pPr>
        <w:ind w:left="720"/>
      </w:pPr>
      <w:r w:rsidRPr="007F7157">
        <w:t xml:space="preserve">It should be noted that while this approach would be voluntary for domestic carriers (permitting these providers to choose international partners that display high levels of trustworthiness), the inclusion of robust commercial and contractual remedies, if an international provider fails to appropriately identify its traffic, could obviate domestic carriers’ concerns about exposure to reputational or enforcement risk as well as regulators’ anxieties that such a mechanism could be used as a backdoor for illegal robocalls or spoofing. </w:t>
      </w:r>
    </w:p>
    <w:p w14:paraId="19E4B86B" w14:textId="77777777" w:rsidR="007F7157" w:rsidRPr="007F7157" w:rsidRDefault="007F7157" w:rsidP="007F7157">
      <w:pPr>
        <w:ind w:left="720"/>
      </w:pPr>
      <w:r w:rsidRPr="007F7157">
        <w:t xml:space="preserve">Additionally, the Global System for Mobile Communications Association (GSMA) has recently undertaken an activity by establishing the Validating </w:t>
      </w:r>
      <w:proofErr w:type="spellStart"/>
      <w:r w:rsidRPr="007F7157">
        <w:t>INtegrity</w:t>
      </w:r>
      <w:proofErr w:type="spellEnd"/>
      <w:r w:rsidRPr="007F7157">
        <w:t xml:space="preserve"> of End-to-End Signaling (VINES) Working Group to develop a set of recommendations to prevent internetwork signaling fraud, which includes illegal robocalls, illegal spoofing, illegal toll bypass and consumer fraud. One of its objectives is to propose a mechanism to interwork with STIR/SHAKEN. </w:t>
      </w:r>
    </w:p>
    <w:p w14:paraId="455A91AB" w14:textId="3CCF49B3" w:rsidR="007A7D8B" w:rsidRDefault="00A6760D" w:rsidP="00620691">
      <w:r>
        <w:t xml:space="preserve">So, while there is definition of the problem and classification of the different scenarios involved in different types of international traffic, and general best practice suggestions and discussion, there </w:t>
      </w:r>
      <w:proofErr w:type="gramStart"/>
      <w:r>
        <w:t>isn’t</w:t>
      </w:r>
      <w:proofErr w:type="gramEnd"/>
      <w:r>
        <w:t xml:space="preserve"> a clear technical framework recommended and suggests the need for this standard.</w:t>
      </w:r>
    </w:p>
    <w:p w14:paraId="0F78A9CF" w14:textId="53AFF111" w:rsidR="00A6760D" w:rsidRDefault="00A6760D" w:rsidP="00620691">
      <w:r>
        <w:t xml:space="preserve">This document defines a technical framework for how attestation should be applied in a SHAKEN eco-system that crosses multiple PKI associated with different governance and regulatory jurisdictions. The goal of this framework, </w:t>
      </w:r>
      <w:proofErr w:type="gramStart"/>
      <w:r>
        <w:t>similar to</w:t>
      </w:r>
      <w:proofErr w:type="gramEnd"/>
      <w:r>
        <w:t xml:space="preserve"> other SHAKEN specifications is to avoid global or local policy decisions and use the SHAKEN framework tools to provide a way of conveying the attestation and other SHAKEN related information using the signatures and certificate framework defined by SHAKEN and related standards.</w:t>
      </w:r>
    </w:p>
    <w:p w14:paraId="00D03B92" w14:textId="77777777" w:rsidR="007F7157" w:rsidRDefault="007F7157" w:rsidP="00620691"/>
    <w:p w14:paraId="7870DDD7" w14:textId="79311F0F" w:rsidR="001F2162" w:rsidRDefault="008261CF" w:rsidP="006004F9">
      <w:pPr>
        <w:pStyle w:val="Heading2"/>
      </w:pPr>
      <w:bookmarkStart w:id="47" w:name="_Toc7115412"/>
      <w:bookmarkStart w:id="48" w:name="_Toc7115460"/>
      <w:bookmarkStart w:id="49" w:name="_Toc7164636"/>
      <w:bookmarkStart w:id="50" w:name="_Toc70429015"/>
      <w:bookmarkEnd w:id="47"/>
      <w:bookmarkEnd w:id="48"/>
      <w:bookmarkEnd w:id="49"/>
      <w:r>
        <w:t>Technical Reports</w:t>
      </w:r>
      <w:r w:rsidR="003931FA">
        <w:t>:</w:t>
      </w:r>
      <w:r w:rsidR="00733F01">
        <w:t xml:space="preserve"> </w:t>
      </w:r>
      <w:r w:rsidR="004C1006">
        <w:t>International SHAKEN</w:t>
      </w:r>
      <w:bookmarkEnd w:id="50"/>
      <w:r w:rsidR="00733F01">
        <w:t xml:space="preserve"> </w:t>
      </w:r>
    </w:p>
    <w:p w14:paraId="2CA7E53B" w14:textId="1D747038" w:rsidR="00620691" w:rsidRDefault="007972BC" w:rsidP="006004F9">
      <w:pPr>
        <w:pStyle w:val="Heading3"/>
      </w:pPr>
      <w:bookmarkStart w:id="51" w:name="_Toc70429016"/>
      <w:r>
        <w:t>IP-NNI</w:t>
      </w:r>
      <w:bookmarkEnd w:id="51"/>
    </w:p>
    <w:p w14:paraId="45BA1C09" w14:textId="77777777" w:rsidR="00A6760D" w:rsidRPr="00A6760D" w:rsidRDefault="00A6760D" w:rsidP="00A6760D">
      <w:r w:rsidRPr="00A6760D">
        <w:t>The following ATIS Technical Reports address aspects of SHAKEN for international calls:</w:t>
      </w:r>
    </w:p>
    <w:p w14:paraId="0FD2652E" w14:textId="77777777" w:rsidR="00A6760D" w:rsidRPr="00A6760D" w:rsidRDefault="00A6760D" w:rsidP="000F1540">
      <w:pPr>
        <w:numPr>
          <w:ilvl w:val="0"/>
          <w:numId w:val="26"/>
        </w:numPr>
      </w:pPr>
      <w:r w:rsidRPr="00A6760D">
        <w:t>ATIS-1000087: </w:t>
      </w:r>
      <w:r w:rsidRPr="00A6760D">
        <w:rPr>
          <w:i/>
          <w:iCs/>
        </w:rPr>
        <w:t>Mechanism for Initial Cross-Border Signature-based Handling of Asserted information using toKENs (SHAKEN)</w:t>
      </w:r>
    </w:p>
    <w:p w14:paraId="15805C5F" w14:textId="77777777" w:rsidR="00A6760D" w:rsidRPr="00A6760D" w:rsidRDefault="00A6760D" w:rsidP="000F1540">
      <w:pPr>
        <w:numPr>
          <w:ilvl w:val="0"/>
          <w:numId w:val="26"/>
        </w:numPr>
      </w:pPr>
      <w:r w:rsidRPr="00A6760D">
        <w:t>ATIS-1000091: </w:t>
      </w:r>
      <w:r w:rsidRPr="00A6760D">
        <w:rPr>
          <w:i/>
          <w:iCs/>
        </w:rPr>
        <w:t>Mechanism for International Signature-based handling of Asserted information using toKENs (SHAKEN)</w:t>
      </w:r>
    </w:p>
    <w:p w14:paraId="78646700" w14:textId="77777777" w:rsidR="00A6760D" w:rsidRPr="00A6760D" w:rsidRDefault="00A6760D" w:rsidP="00A6760D">
      <w:r w:rsidRPr="00A6760D">
        <w:t> </w:t>
      </w:r>
    </w:p>
    <w:p w14:paraId="59BC5D85" w14:textId="12D4A3FD" w:rsidR="00A6760D" w:rsidRPr="00A6760D" w:rsidRDefault="00A6760D" w:rsidP="00A6760D">
      <w:r w:rsidRPr="00A6760D">
        <w:t>Both documents deal with the technical mechanisms for sharing Trusted CA lists between countries but do not address the policy considerations associated with this. In addition, neither document addresses the treatment of SHAKEN PASSporTs at the international gateway. The unstated assumption is that the PASSporTs will be transparently transported across borders, and that decisions about how to deal with these PASSporTs will be made by the terminating service provider, based on local policy. Regulation will be one important input to this “local policy” but again, this is unstated.</w:t>
      </w:r>
    </w:p>
    <w:p w14:paraId="3CD6D861" w14:textId="2B780467" w:rsidR="00E0301D" w:rsidRDefault="00247011" w:rsidP="006004F9">
      <w:pPr>
        <w:pStyle w:val="Heading3"/>
      </w:pPr>
      <w:bookmarkStart w:id="52" w:name="_Toc70429017"/>
      <w:r>
        <w:lastRenderedPageBreak/>
        <w:t>ATIS</w:t>
      </w:r>
      <w:r w:rsidR="008261CF">
        <w:t>’</w:t>
      </w:r>
      <w:r>
        <w:t xml:space="preserve"> </w:t>
      </w:r>
      <w:r w:rsidR="00E0301D">
        <w:t>Non-IP Call Authentication Task Force</w:t>
      </w:r>
      <w:bookmarkEnd w:id="52"/>
    </w:p>
    <w:p w14:paraId="2A5C9D38" w14:textId="1701D862" w:rsidR="00A6760D" w:rsidRPr="00A6760D" w:rsidRDefault="00A6760D" w:rsidP="00A6760D">
      <w:r w:rsidRPr="00A6760D">
        <w:t>ATIS’ Non-IP Call Authentication Task Force is also developing standards that will provide “SHAKEN functionality” for non IP networks:</w:t>
      </w:r>
    </w:p>
    <w:p w14:paraId="3E084862" w14:textId="77777777" w:rsidR="00A6760D" w:rsidRPr="00A6760D" w:rsidRDefault="00A6760D" w:rsidP="000F1540">
      <w:pPr>
        <w:numPr>
          <w:ilvl w:val="0"/>
          <w:numId w:val="27"/>
        </w:numPr>
      </w:pPr>
      <w:r w:rsidRPr="00A6760D">
        <w:t>Signature-Based Handling of Asserted Information Using Tokens (SHAKEN): Out-of-Band PASSporT Transmission Involving TDM Networks</w:t>
      </w:r>
    </w:p>
    <w:p w14:paraId="1259C208" w14:textId="3F94300E" w:rsidR="00A6760D" w:rsidRPr="00A6760D" w:rsidRDefault="00A6760D" w:rsidP="000F1540">
      <w:pPr>
        <w:numPr>
          <w:ilvl w:val="0"/>
          <w:numId w:val="27"/>
        </w:numPr>
      </w:pPr>
      <w:r w:rsidRPr="00A6760D">
        <w:t>Extending STIR/SHAKEN over TDM </w:t>
      </w:r>
    </w:p>
    <w:p w14:paraId="6927CAF8" w14:textId="2842CD3B" w:rsidR="00A6760D" w:rsidRPr="00A6760D" w:rsidRDefault="00A6760D" w:rsidP="00A6760D">
      <w:proofErr w:type="gramStart"/>
      <w:r w:rsidRPr="00A6760D">
        <w:t>Both of these</w:t>
      </w:r>
      <w:proofErr w:type="gramEnd"/>
      <w:r w:rsidRPr="00A6760D">
        <w:t xml:space="preserve"> documents include sections discussing the handling of PASSporTs and SHAKEN attestation levels for international calls. The documents specify that PASSporTs (or the corresponding attestation level) will be sent transparently across international gateways for international calls. PASSporTs for domestic calls are never sent across international borders. In addition, for Out-of-Band PASSporT transmission, the PASSporT is handled by a network element at the international gateway that transfers the PASSporT from one jurisdiction to the other. Although this function in the proposed standards passes all PASSporTs for international calls, it could in the future apply country-specific processing if this </w:t>
      </w:r>
      <w:proofErr w:type="gramStart"/>
      <w:r w:rsidRPr="00A6760D">
        <w:t>was</w:t>
      </w:r>
      <w:proofErr w:type="gramEnd"/>
      <w:r w:rsidRPr="00A6760D">
        <w:t xml:space="preserve"> required by regulation.</w:t>
      </w:r>
    </w:p>
    <w:p w14:paraId="08EB498C" w14:textId="77777777" w:rsidR="004C1006" w:rsidRDefault="004C1006" w:rsidP="004C1006"/>
    <w:p w14:paraId="36A28E05" w14:textId="36048496" w:rsidR="00A6760D" w:rsidRPr="00A6760D" w:rsidRDefault="00A6760D" w:rsidP="006004F9">
      <w:pPr>
        <w:pStyle w:val="Heading3"/>
      </w:pPr>
      <w:bookmarkStart w:id="53" w:name="_Toc70429018"/>
      <w:r w:rsidRPr="00A6760D">
        <w:t>Applying full attestation at the international border</w:t>
      </w:r>
      <w:bookmarkEnd w:id="53"/>
    </w:p>
    <w:p w14:paraId="152F2E4F" w14:textId="79D42D75" w:rsidR="00A6760D" w:rsidRPr="00A6760D" w:rsidRDefault="00A6760D" w:rsidP="00A6760D">
      <w:r w:rsidRPr="00A6760D">
        <w:t xml:space="preserve">ATIS-1000074 only dealt with providing attestation for domestic calls.  But for calls within the U.S., service providers </w:t>
      </w:r>
      <w:proofErr w:type="gramStart"/>
      <w:r w:rsidRPr="00A6760D">
        <w:t>were allowed to</w:t>
      </w:r>
      <w:proofErr w:type="gramEnd"/>
      <w:r w:rsidRPr="00A6760D">
        <w:t xml:space="preserve"> provide full attestation for calls, even if the number was not associated with their OCN, as long as the call was initiated by the service provider’s “customer”, and the service provider could determine the customer had the legitimate right to use the number. This allowed full attestation for </w:t>
      </w:r>
      <w:r w:rsidR="004C1006">
        <w:t>many</w:t>
      </w:r>
      <w:r w:rsidRPr="00A6760D">
        <w:t xml:space="preserve"> valid use cases, such as enterprises initiating calls through two service providers for reliability or cost savings.  </w:t>
      </w:r>
    </w:p>
    <w:p w14:paraId="4E105408" w14:textId="77777777" w:rsidR="00A6760D" w:rsidRPr="00A6760D" w:rsidRDefault="00A6760D" w:rsidP="00A6760D">
      <w:r w:rsidRPr="00A6760D">
        <w:t xml:space="preserve">Extending this concept to allow a U.S. based service provider to offer full attestation for international calls, using non-U.S. numbers, and originated by non-U.S. service providers </w:t>
      </w:r>
      <w:proofErr w:type="gramStart"/>
      <w:r w:rsidRPr="00A6760D">
        <w:t>wasn’t</w:t>
      </w:r>
      <w:proofErr w:type="gramEnd"/>
      <w:r w:rsidRPr="00A6760D">
        <w:t xml:space="preserve"> considered as part of the original SHAKEN standard. But perhaps this question should be studied.  Some potential factors to consider include (for discussion):</w:t>
      </w:r>
    </w:p>
    <w:p w14:paraId="63748DBF" w14:textId="5BE0E899" w:rsidR="00A6760D" w:rsidRPr="00A6760D" w:rsidRDefault="00A6760D" w:rsidP="000F1540">
      <w:pPr>
        <w:numPr>
          <w:ilvl w:val="0"/>
          <w:numId w:val="28"/>
        </w:numPr>
      </w:pPr>
      <w:r w:rsidRPr="00A6760D">
        <w:t>ATIS-1000074 did not define “customer”, but ATIS-1000088 (</w:t>
      </w:r>
      <w:r w:rsidRPr="00A6760D">
        <w:rPr>
          <w:i/>
          <w:iCs/>
        </w:rPr>
        <w:t>A Framework for SHAKEN Attestation and Origination Identifier</w:t>
      </w:r>
      <w:r w:rsidRPr="00A6760D">
        <w:t xml:space="preserve">) has since provided further analysis </w:t>
      </w:r>
      <w:proofErr w:type="gramStart"/>
      <w:r w:rsidRPr="00A6760D">
        <w:t>of ”customer</w:t>
      </w:r>
      <w:proofErr w:type="gramEnd"/>
      <w:r w:rsidRPr="00A6760D">
        <w:t>” and criteria for providing full attestation. This may provide objective criteria to evaluate the feasibility of U.S. service providers offering full attestation for international calls at an international gateway (assuming they can determine the entity originating the call has a legitimate right to use the number).</w:t>
      </w:r>
    </w:p>
    <w:p w14:paraId="096EC63C" w14:textId="77777777" w:rsidR="00A6760D" w:rsidRPr="00A6760D" w:rsidRDefault="00A6760D" w:rsidP="000F1540">
      <w:pPr>
        <w:numPr>
          <w:ilvl w:val="0"/>
          <w:numId w:val="28"/>
        </w:numPr>
      </w:pPr>
      <w:r w:rsidRPr="00A6760D">
        <w:t>At its core, the SHAKEN trust model depends on establishing a reputation for every service provider, and the ability to “find and punish” service providers that abuse that trust.  Signing calls at the U.S. border (with sufficient verification) does not inherently undermine this model – and may in fact strengthen it because the service providers would be under U.S. jurisdiction.</w:t>
      </w:r>
    </w:p>
    <w:p w14:paraId="79B7AA35" w14:textId="5E48229A" w:rsidR="00A6760D" w:rsidRPr="00A6760D" w:rsidRDefault="00A6760D" w:rsidP="000F1540">
      <w:pPr>
        <w:numPr>
          <w:ilvl w:val="0"/>
          <w:numId w:val="28"/>
        </w:numPr>
      </w:pPr>
      <w:r w:rsidRPr="00A6760D">
        <w:t>Allowing U.S. service providers to offer full attestation at international gateways (with sufficient vetting) does not preclude adopting a broader international SHAKEN framework. The two approaches can be complementary.</w:t>
      </w:r>
    </w:p>
    <w:p w14:paraId="6FFB60BF" w14:textId="77777777" w:rsidR="00A6760D" w:rsidRDefault="00A6760D" w:rsidP="00AA1764"/>
    <w:p w14:paraId="33EEB1C4" w14:textId="1D4605C6" w:rsidR="00620691" w:rsidRDefault="00AF3A36" w:rsidP="00C4176C">
      <w:pPr>
        <w:pStyle w:val="Heading1"/>
      </w:pPr>
      <w:bookmarkStart w:id="54" w:name="_Toc70429019"/>
      <w:r>
        <w:t>Use Cases</w:t>
      </w:r>
      <w:bookmarkEnd w:id="54"/>
    </w:p>
    <w:p w14:paraId="06A2EA27" w14:textId="32FD8F25" w:rsidR="00E55EAF" w:rsidRDefault="00E55EAF" w:rsidP="00620691"/>
    <w:p w14:paraId="0968B242" w14:textId="694C19F9" w:rsidR="00DD4E28" w:rsidRDefault="00D82D25" w:rsidP="00D82D25">
      <w:r>
        <w:t>The NANC CATA working group 2</w:t>
      </w:r>
      <w:r w:rsidR="00B6789A">
        <w:t xml:space="preserve"> </w:t>
      </w:r>
      <w:r w:rsidR="00DD4E28">
        <w:t xml:space="preserve">identified two key factors that should be considered when </w:t>
      </w:r>
      <w:r w:rsidR="003234B6">
        <w:t>analyzing internationa</w:t>
      </w:r>
      <w:r w:rsidR="00DD2B43">
        <w:t>l traffic:</w:t>
      </w:r>
    </w:p>
    <w:p w14:paraId="718E2F19" w14:textId="4D5E4ED1" w:rsidR="00DD2B43" w:rsidRDefault="00DD2B43" w:rsidP="00DD2B43">
      <w:pPr>
        <w:numPr>
          <w:ilvl w:val="0"/>
          <w:numId w:val="25"/>
        </w:numPr>
      </w:pPr>
      <w:r w:rsidRPr="00F978BA">
        <w:rPr>
          <w:b/>
          <w:bCs/>
        </w:rPr>
        <w:t>Telephone number</w:t>
      </w:r>
      <w:r>
        <w:t xml:space="preserve">: is the calling party number </w:t>
      </w:r>
      <w:r w:rsidR="00F85D6B">
        <w:t>a domestic TN (</w:t>
      </w:r>
      <w:r w:rsidR="00F978BA">
        <w:t xml:space="preserve">from the </w:t>
      </w:r>
      <w:r w:rsidR="00F85D6B">
        <w:t>NANP</w:t>
      </w:r>
      <w:r w:rsidR="00F978BA">
        <w:t>, and</w:t>
      </w:r>
      <w:r w:rsidR="00F85D6B">
        <w:t xml:space="preserve"> </w:t>
      </w:r>
      <w:r w:rsidR="00F978BA">
        <w:t>assigned to</w:t>
      </w:r>
      <w:r w:rsidR="00F85D6B">
        <w:t xml:space="preserve"> the U.S.) or an interna</w:t>
      </w:r>
      <w:r w:rsidR="000D4367">
        <w:t xml:space="preserve">tional number (anything other than a </w:t>
      </w:r>
      <w:r w:rsidR="00F978BA">
        <w:t>NANP number assigned to the U.S.)</w:t>
      </w:r>
      <w:r w:rsidR="003A5B17">
        <w:t>?</w:t>
      </w:r>
    </w:p>
    <w:p w14:paraId="4C60709E" w14:textId="42B4DF34" w:rsidR="00F978BA" w:rsidRDefault="00952729" w:rsidP="00DD2B43">
      <w:pPr>
        <w:numPr>
          <w:ilvl w:val="0"/>
          <w:numId w:val="25"/>
        </w:numPr>
      </w:pPr>
      <w:r w:rsidRPr="00C4176C">
        <w:rPr>
          <w:b/>
          <w:bCs/>
        </w:rPr>
        <w:t>Origination</w:t>
      </w:r>
      <w:r w:rsidR="0009623C">
        <w:t>: is the entity offering the service (</w:t>
      </w:r>
      <w:r w:rsidR="00020CC1">
        <w:t>e.g., application or wholesale service) U.S. based, or non-U.S. based</w:t>
      </w:r>
      <w:r w:rsidR="003A5B17">
        <w:t>?</w:t>
      </w:r>
    </w:p>
    <w:p w14:paraId="53686815" w14:textId="18173746" w:rsidR="00620691" w:rsidRDefault="003A5B17" w:rsidP="00D82D25">
      <w:r>
        <w:t xml:space="preserve">Combining these two factors </w:t>
      </w:r>
      <w:r w:rsidR="00147FA2">
        <w:t>gives</w:t>
      </w:r>
      <w:r w:rsidR="00B6789A">
        <w:t xml:space="preserve"> </w:t>
      </w:r>
      <w:r w:rsidR="00181A73">
        <w:t xml:space="preserve">four broad categories </w:t>
      </w:r>
      <w:r w:rsidR="00452FE3">
        <w:t xml:space="preserve">as the basis for additional </w:t>
      </w:r>
      <w:r w:rsidR="00036602">
        <w:t>analysis and to develop best practices.  These categories are:</w:t>
      </w:r>
    </w:p>
    <w:p w14:paraId="01A13462" w14:textId="77777777" w:rsidR="00E3701E" w:rsidRPr="007F7157" w:rsidRDefault="00E3701E" w:rsidP="00E3701E">
      <w:pPr>
        <w:numPr>
          <w:ilvl w:val="0"/>
          <w:numId w:val="25"/>
        </w:numPr>
      </w:pPr>
      <w:proofErr w:type="gramStart"/>
      <w:r w:rsidRPr="007F7157">
        <w:lastRenderedPageBreak/>
        <w:t>Internationally-based</w:t>
      </w:r>
      <w:proofErr w:type="gramEnd"/>
      <w:r w:rsidRPr="007F7157">
        <w:t xml:space="preserve"> companies or individuals sending fraudulent traffic using US-based application, trunking, or wholesale services with spoofed domestic numbers; </w:t>
      </w:r>
    </w:p>
    <w:p w14:paraId="20634BE0" w14:textId="77777777" w:rsidR="00E3701E" w:rsidRPr="007F7157" w:rsidRDefault="00E3701E" w:rsidP="00E3701E">
      <w:pPr>
        <w:numPr>
          <w:ilvl w:val="0"/>
          <w:numId w:val="25"/>
        </w:numPr>
      </w:pPr>
      <w:proofErr w:type="gramStart"/>
      <w:r w:rsidRPr="007F7157">
        <w:t>Internationally-based</w:t>
      </w:r>
      <w:proofErr w:type="gramEnd"/>
      <w:r w:rsidRPr="007F7157">
        <w:t xml:space="preserve"> companies or individuals sending fraudulent traffic using US-based application, trunking, or wholesale services with spoofed international numbers; </w:t>
      </w:r>
    </w:p>
    <w:p w14:paraId="1C6293AA" w14:textId="77777777" w:rsidR="00E3701E" w:rsidRPr="007F7157" w:rsidRDefault="00E3701E" w:rsidP="00E3701E">
      <w:pPr>
        <w:numPr>
          <w:ilvl w:val="0"/>
          <w:numId w:val="25"/>
        </w:numPr>
      </w:pPr>
      <w:r w:rsidRPr="007F7157">
        <w:t xml:space="preserve">Internationally-based companies or individuals sending fraudulent traffic using internationally based application, trunking, or wholesale services with spoofed domestic numbers; or </w:t>
      </w:r>
    </w:p>
    <w:p w14:paraId="0CC7A416" w14:textId="77777777" w:rsidR="00E3701E" w:rsidRPr="007F7157" w:rsidRDefault="00E3701E" w:rsidP="00E3701E">
      <w:pPr>
        <w:numPr>
          <w:ilvl w:val="0"/>
          <w:numId w:val="25"/>
        </w:numPr>
      </w:pPr>
      <w:r w:rsidRPr="007F7157">
        <w:t xml:space="preserve">Internationally-based companies or individuals sending fraudulent traffic using internationally based application, trunking, or wholesale services with spoofed international numbers. </w:t>
      </w:r>
    </w:p>
    <w:p w14:paraId="3B2BCF67" w14:textId="77777777" w:rsidR="00036602" w:rsidRDefault="00036602" w:rsidP="00D82D25"/>
    <w:p w14:paraId="6EC78DFD" w14:textId="6E17F718" w:rsidR="007436B6" w:rsidRDefault="00351BA5" w:rsidP="00D82D25">
      <w:r>
        <w:t xml:space="preserve">International calls can also come from U.S. mobile customers </w:t>
      </w:r>
      <w:r w:rsidR="00E90DF5">
        <w:t>who are roaming internationally, but this has unique characteristics</w:t>
      </w:r>
      <w:r w:rsidR="003B7CEA">
        <w:t xml:space="preserve"> </w:t>
      </w:r>
      <w:r w:rsidR="00FD2178">
        <w:t>(</w:t>
      </w:r>
      <w:r w:rsidR="003B7CEA">
        <w:t>specifically that the TN has a direct chain of trust to a</w:t>
      </w:r>
      <w:r w:rsidR="00F07F84">
        <w:t>n STI Certificate issued to a</w:t>
      </w:r>
      <w:r w:rsidR="003B7CEA">
        <w:t xml:space="preserve"> U.S.</w:t>
      </w:r>
      <w:r w:rsidR="00F07F84">
        <w:t xml:space="preserve"> </w:t>
      </w:r>
      <w:r w:rsidR="003B7CEA">
        <w:t>Voice Service Provider</w:t>
      </w:r>
      <w:r w:rsidR="00FD2178">
        <w:t>)</w:t>
      </w:r>
      <w:r w:rsidR="00E90DF5">
        <w:t xml:space="preserve"> and is out of scope for this analysis.  </w:t>
      </w:r>
      <w:r w:rsidR="007C5499">
        <w:t>This technical report will be limited to a consideration of the four categories identified by the CATA report.</w:t>
      </w:r>
    </w:p>
    <w:p w14:paraId="286F57AB" w14:textId="04030715" w:rsidR="004B05F3" w:rsidRDefault="004B05F3" w:rsidP="00D82D25">
      <w:r w:rsidRPr="00C4176C">
        <w:rPr>
          <w:highlight w:val="yellow"/>
        </w:rPr>
        <w:t xml:space="preserve">Editor’s Note: </w:t>
      </w:r>
      <w:r w:rsidR="00CC1EF7" w:rsidRPr="00C4176C">
        <w:rPr>
          <w:highlight w:val="yellow"/>
        </w:rPr>
        <w:t>Consider how international calls from U.S. mobile customers should or should not be included in this document.</w:t>
      </w:r>
      <w:r w:rsidR="00CC1EF7">
        <w:t xml:space="preserve"> </w:t>
      </w:r>
    </w:p>
    <w:p w14:paraId="14C60FA8" w14:textId="77777777" w:rsidR="009C4986" w:rsidRDefault="009C4986" w:rsidP="00D82D25"/>
    <w:p w14:paraId="48EFE77D" w14:textId="468E6C3B" w:rsidR="00C61ACC" w:rsidRDefault="00C61ACC" w:rsidP="0068418A">
      <w:pPr>
        <w:pStyle w:val="Heading1"/>
      </w:pPr>
      <w:bookmarkStart w:id="55" w:name="_Toc70429020"/>
      <w:r>
        <w:t>Best Practices</w:t>
      </w:r>
      <w:bookmarkEnd w:id="55"/>
    </w:p>
    <w:p w14:paraId="4566371C" w14:textId="26CEACAB" w:rsidR="008D3A9E" w:rsidRDefault="008D3A9E" w:rsidP="002F0A1B">
      <w:r>
        <w:t xml:space="preserve">The </w:t>
      </w:r>
      <w:r w:rsidR="00770181">
        <w:t>CATA report</w:t>
      </w:r>
      <w:r w:rsidR="00B25292">
        <w:t xml:space="preserve"> identified </w:t>
      </w:r>
      <w:r w:rsidR="00563B13">
        <w:t xml:space="preserve">the need for providing </w:t>
      </w:r>
      <w:r w:rsidR="00FA5D9B">
        <w:t>attestation for internationally originated calls and provided a</w:t>
      </w:r>
      <w:r w:rsidR="002F0A1B">
        <w:t xml:space="preserve"> </w:t>
      </w:r>
      <w:r>
        <w:t xml:space="preserve">classification </w:t>
      </w:r>
      <w:r w:rsidR="002F0A1B">
        <w:t>scheme for</w:t>
      </w:r>
      <w:r>
        <w:t xml:space="preserve"> the different </w:t>
      </w:r>
      <w:r w:rsidR="008018D3">
        <w:t xml:space="preserve">international traffic </w:t>
      </w:r>
      <w:r>
        <w:t>scenarios</w:t>
      </w:r>
      <w:r w:rsidR="00932A18">
        <w:t xml:space="preserve">. </w:t>
      </w:r>
      <w:r w:rsidR="000A7DBE">
        <w:t xml:space="preserve">The role </w:t>
      </w:r>
      <w:r w:rsidR="00096504">
        <w:t>for</w:t>
      </w:r>
      <w:r>
        <w:t xml:space="preserve"> general best practice</w:t>
      </w:r>
      <w:r w:rsidR="00096504">
        <w:t>s</w:t>
      </w:r>
      <w:r>
        <w:t xml:space="preserve"> </w:t>
      </w:r>
      <w:r w:rsidR="00096504">
        <w:t>was</w:t>
      </w:r>
      <w:r>
        <w:t xml:space="preserve"> discuss</w:t>
      </w:r>
      <w:r w:rsidR="00096504">
        <w:t>ed</w:t>
      </w:r>
      <w:r>
        <w:t>,</w:t>
      </w:r>
      <w:r w:rsidR="00E10986">
        <w:t xml:space="preserve"> but it did not offer</w:t>
      </w:r>
      <w:r>
        <w:t xml:space="preserve"> a clear technical framework</w:t>
      </w:r>
      <w:r w:rsidR="00E10565">
        <w:t xml:space="preserve">.  </w:t>
      </w:r>
      <w:r w:rsidR="00D9185B">
        <w:t xml:space="preserve">ATIS technical reports proposed a strategy for </w:t>
      </w:r>
      <w:r w:rsidR="00305017">
        <w:t xml:space="preserve">a subset of the problem space, specifically where </w:t>
      </w:r>
      <w:r w:rsidR="005C5847">
        <w:t>multiple countries establish national SHAKEN infrastructure</w:t>
      </w:r>
      <w:r w:rsidR="003C4068">
        <w:t xml:space="preserve">.  This offers an immediate path </w:t>
      </w:r>
      <w:r w:rsidR="00A0178B">
        <w:t>forward but</w:t>
      </w:r>
      <w:r w:rsidR="003C4068">
        <w:t xml:space="preserve"> does not</w:t>
      </w:r>
      <w:r w:rsidR="000B0CB0">
        <w:t xml:space="preserve"> provide a coherent framework for the full problem space</w:t>
      </w:r>
      <w:r w:rsidR="00B45BB6">
        <w:t>.</w:t>
      </w:r>
    </w:p>
    <w:p w14:paraId="1F37CA05" w14:textId="4ADA5EC2" w:rsidR="00F075C0" w:rsidRDefault="008D3A9E" w:rsidP="00D82D25">
      <w:r>
        <w:t xml:space="preserve">This document defines a technical framework for how attestation should be applied in a SHAKEN eco-system that crosses multiple PKI associated with different governance and regulatory jurisdictions. The goal of this framework, </w:t>
      </w:r>
      <w:proofErr w:type="gramStart"/>
      <w:r>
        <w:t>similar to</w:t>
      </w:r>
      <w:proofErr w:type="gramEnd"/>
      <w:r>
        <w:t xml:space="preserve"> other SHAKEN specifications</w:t>
      </w:r>
      <w:r w:rsidR="00B45BB6">
        <w:t>,</w:t>
      </w:r>
      <w:r>
        <w:t xml:space="preserve"> is to avoid</w:t>
      </w:r>
      <w:r w:rsidR="001B25C5">
        <w:t xml:space="preserve"> uncoordinated </w:t>
      </w:r>
      <w:r>
        <w:t xml:space="preserve">global or local policy decisions and </w:t>
      </w:r>
      <w:r w:rsidR="0070326C">
        <w:t xml:space="preserve">to provide a coherent approach to </w:t>
      </w:r>
      <w:r>
        <w:t xml:space="preserve">use the SHAKEN framework tools to provide a </w:t>
      </w:r>
      <w:r w:rsidR="0070326C">
        <w:t xml:space="preserve">consistent </w:t>
      </w:r>
      <w:r>
        <w:t>way of conveying attestation and other SHAKEN related information using the signatures and certificate framework defined by SHAKEN and related standards.</w:t>
      </w:r>
    </w:p>
    <w:p w14:paraId="70871B1F" w14:textId="77777777" w:rsidR="0068418A" w:rsidRDefault="0068418A" w:rsidP="00D82D25"/>
    <w:p w14:paraId="16076FCB" w14:textId="2F64BD08" w:rsidR="00E3701E" w:rsidRDefault="00C53270" w:rsidP="0068418A">
      <w:pPr>
        <w:pStyle w:val="Heading2"/>
      </w:pPr>
      <w:bookmarkStart w:id="56" w:name="_Toc70429021"/>
      <w:r>
        <w:t>Analysis</w:t>
      </w:r>
      <w:r w:rsidR="00F075C0">
        <w:t xml:space="preserve"> of options:</w:t>
      </w:r>
      <w:bookmarkEnd w:id="56"/>
    </w:p>
    <w:p w14:paraId="49CEC70F" w14:textId="2CE85B69" w:rsidR="00B417D8" w:rsidRDefault="00817565" w:rsidP="00B417D8">
      <w:r>
        <w:t>ATIS-1000074-E define</w:t>
      </w:r>
      <w:r w:rsidR="00D006C9">
        <w:t>s</w:t>
      </w:r>
      <w:r>
        <w:t xml:space="preserve"> a framework for </w:t>
      </w:r>
      <w:r w:rsidR="00D07772">
        <w:t>providing “attestation” about the calling party’s right to use a telephone number</w:t>
      </w:r>
      <w:r w:rsidR="00C007B2">
        <w:t xml:space="preserve"> at the originating service </w:t>
      </w:r>
      <w:r w:rsidR="00D006C9">
        <w:t>provider and</w:t>
      </w:r>
      <w:r w:rsidR="00D07772">
        <w:t xml:space="preserve"> </w:t>
      </w:r>
      <w:r w:rsidR="00C007B2">
        <w:t xml:space="preserve">relaying this information in a cryptographically secure manner to the terminating service provider, </w:t>
      </w:r>
      <w:r w:rsidR="00F766AF">
        <w:t>within a single country.</w:t>
      </w:r>
      <w:r w:rsidR="00D006C9">
        <w:t xml:space="preserve"> </w:t>
      </w:r>
      <w:r w:rsidR="00E97561">
        <w:t xml:space="preserve">Within this context, </w:t>
      </w:r>
      <w:r w:rsidR="00CD2DE3">
        <w:t>it is relatively clear who</w:t>
      </w:r>
      <w:r w:rsidR="005F6DE5">
        <w:t xml:space="preserve"> provides attestation, and how they determine the appropriate level of attestation.  </w:t>
      </w:r>
      <w:r w:rsidR="00DE7649">
        <w:t>Extending this framework to include international calls</w:t>
      </w:r>
      <w:r w:rsidR="0051691B">
        <w:t xml:space="preserve"> introduces </w:t>
      </w:r>
      <w:r w:rsidR="00152651">
        <w:t>significant</w:t>
      </w:r>
      <w:r w:rsidR="0051691B">
        <w:t xml:space="preserve"> complexity and uncertainty about </w:t>
      </w:r>
      <w:r w:rsidR="00152651">
        <w:t xml:space="preserve">who provides attestation, and how to confidently determine </w:t>
      </w:r>
      <w:r w:rsidR="0001481F">
        <w:t xml:space="preserve">attestation levels. This section analyzes key </w:t>
      </w:r>
      <w:r w:rsidR="00A95C26">
        <w:t xml:space="preserve">aspects of this space to </w:t>
      </w:r>
      <w:r w:rsidR="007B1762">
        <w:t>define a technical framework for international calls and to</w:t>
      </w:r>
      <w:r w:rsidR="00A95C26">
        <w:t xml:space="preserve"> inform potential best practices.</w:t>
      </w:r>
    </w:p>
    <w:p w14:paraId="1897C63B" w14:textId="63ACF0BE" w:rsidR="0025112B" w:rsidRDefault="0025112B" w:rsidP="00B417D8">
      <w:r>
        <w:t>Note: potential topics for</w:t>
      </w:r>
      <w:r w:rsidR="00182D32">
        <w:t xml:space="preserve"> further analysis include:</w:t>
      </w:r>
    </w:p>
    <w:p w14:paraId="1D821400" w14:textId="7A4B2CCE" w:rsidR="00F075C0" w:rsidRDefault="00182D32" w:rsidP="00F075C0">
      <w:pPr>
        <w:pStyle w:val="ListParagraph"/>
        <w:numPr>
          <w:ilvl w:val="0"/>
          <w:numId w:val="34"/>
        </w:numPr>
      </w:pPr>
      <w:r>
        <w:t>STI certificates</w:t>
      </w:r>
      <w:r w:rsidR="00E524E8">
        <w:t xml:space="preserve"> </w:t>
      </w:r>
      <w:r w:rsidR="002A6643">
        <w:t xml:space="preserve">include an ISO code identifying the country </w:t>
      </w:r>
      <w:r w:rsidR="00774CC6">
        <w:t xml:space="preserve">issuing the certificate.  Does this limit the certificate to signing for </w:t>
      </w:r>
      <w:r w:rsidR="00DD53AC">
        <w:t>calls originating from that countries telephone numbers?</w:t>
      </w:r>
    </w:p>
    <w:p w14:paraId="1C3AABE6" w14:textId="111B76CB" w:rsidR="0068418A" w:rsidRDefault="00843B96" w:rsidP="0068418A">
      <w:pPr>
        <w:pStyle w:val="ListParagraph"/>
        <w:numPr>
          <w:ilvl w:val="0"/>
          <w:numId w:val="34"/>
        </w:numPr>
      </w:pPr>
      <w:r>
        <w:t xml:space="preserve">Originating service providers </w:t>
      </w:r>
      <w:proofErr w:type="gramStart"/>
      <w:r>
        <w:t>are allowed to</w:t>
      </w:r>
      <w:proofErr w:type="gramEnd"/>
      <w:r>
        <w:t xml:space="preserve"> provide full attestation for </w:t>
      </w:r>
      <w:r w:rsidR="00F54D28">
        <w:t>TNs not associated with their OCN</w:t>
      </w:r>
      <w:r w:rsidR="004A0E16">
        <w:t xml:space="preserve"> but within the same country.  How does this apply </w:t>
      </w:r>
      <w:r w:rsidR="00D006FA">
        <w:t>for other countries TNs?</w:t>
      </w:r>
    </w:p>
    <w:p w14:paraId="1E664CA0" w14:textId="24898CD0" w:rsidR="00D006FA" w:rsidRDefault="000E42D6" w:rsidP="0068418A">
      <w:pPr>
        <w:pStyle w:val="ListParagraph"/>
        <w:numPr>
          <w:ilvl w:val="0"/>
          <w:numId w:val="34"/>
        </w:numPr>
      </w:pPr>
      <w:r>
        <w:t>Analysis of a range of mechanisms that could potentially be used to establish the “right to use</w:t>
      </w:r>
      <w:r w:rsidR="00305C58">
        <w:t xml:space="preserve"> a TN”.</w:t>
      </w:r>
    </w:p>
    <w:p w14:paraId="2DEEDABF" w14:textId="36126803" w:rsidR="00305C58" w:rsidRDefault="00305C58" w:rsidP="0068418A">
      <w:pPr>
        <w:pStyle w:val="ListParagraph"/>
        <w:numPr>
          <w:ilvl w:val="0"/>
          <w:numId w:val="34"/>
        </w:numPr>
      </w:pPr>
      <w:r>
        <w:t xml:space="preserve">Comparison of national SHAKEN GAs vs industry associations or other </w:t>
      </w:r>
      <w:r w:rsidR="00562202">
        <w:t>international bodies as a root of trust for SHAKEN attestation.</w:t>
      </w:r>
    </w:p>
    <w:p w14:paraId="1092760A" w14:textId="77777777" w:rsidR="00C53270" w:rsidRDefault="00C53270" w:rsidP="00D82D25"/>
    <w:p w14:paraId="3B6EF3BF" w14:textId="5B7DEEEA" w:rsidR="00C53270" w:rsidRDefault="00456084" w:rsidP="00456084">
      <w:pPr>
        <w:pStyle w:val="Heading1"/>
      </w:pPr>
      <w:bookmarkStart w:id="57" w:name="_Toc70429022"/>
      <w:r>
        <w:lastRenderedPageBreak/>
        <w:t>Recommendation</w:t>
      </w:r>
      <w:bookmarkEnd w:id="57"/>
    </w:p>
    <w:p w14:paraId="7CE026D2" w14:textId="0647E17F" w:rsidR="00E3701E" w:rsidRDefault="00562202" w:rsidP="00D82D25">
      <w:r>
        <w:t>TBD</w:t>
      </w:r>
    </w:p>
    <w:p w14:paraId="74DB7043" w14:textId="77777777" w:rsidR="00E3701E" w:rsidRDefault="00E3701E" w:rsidP="00D82D25"/>
    <w:p w14:paraId="2C9BBED6" w14:textId="77777777" w:rsidR="00E3701E" w:rsidRDefault="00E3701E" w:rsidP="00D82D25"/>
    <w:p w14:paraId="6982CBB0" w14:textId="77777777" w:rsidR="00E3701E" w:rsidRPr="00AA1764" w:rsidRDefault="00E3701E" w:rsidP="00D82D25"/>
    <w:sectPr w:rsidR="00E3701E" w:rsidRPr="00AA1764">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F91E" w14:textId="77777777" w:rsidR="007E4F0C" w:rsidRDefault="007E4F0C">
      <w:r>
        <w:separator/>
      </w:r>
    </w:p>
  </w:endnote>
  <w:endnote w:type="continuationSeparator" w:id="0">
    <w:p w14:paraId="763638DC" w14:textId="77777777" w:rsidR="007E4F0C" w:rsidRDefault="007E4F0C">
      <w:r>
        <w:continuationSeparator/>
      </w:r>
    </w:p>
  </w:endnote>
  <w:endnote w:type="continuationNotice" w:id="1">
    <w:p w14:paraId="6BBE418B" w14:textId="77777777" w:rsidR="007E4F0C" w:rsidRDefault="007E4F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4D"/>
    <w:family w:val="modern"/>
    <w:pitch w:val="fixed"/>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5A59" w14:textId="77777777" w:rsidR="007E4F0C" w:rsidRDefault="007E4F0C">
      <w:r>
        <w:separator/>
      </w:r>
    </w:p>
  </w:footnote>
  <w:footnote w:type="continuationSeparator" w:id="0">
    <w:p w14:paraId="539B0009" w14:textId="77777777" w:rsidR="007E4F0C" w:rsidRDefault="007E4F0C">
      <w:r>
        <w:continuationSeparator/>
      </w:r>
    </w:p>
  </w:footnote>
  <w:footnote w:type="continuationNotice" w:id="1">
    <w:p w14:paraId="1E61CC24" w14:textId="77777777" w:rsidR="007E4F0C" w:rsidRDefault="007E4F0C">
      <w:pPr>
        <w:spacing w:before="0" w:after="0"/>
      </w:pPr>
    </w:p>
  </w:footnote>
  <w:footnote w:id="2">
    <w:p w14:paraId="1CE26F3E" w14:textId="77777777" w:rsidR="00D835BB" w:rsidRDefault="00D835BB"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D835BB" w:rsidRDefault="00D835BB"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D835BB" w:rsidRDefault="00D835BB"/>
  <w:p w14:paraId="5226A3C4" w14:textId="77777777" w:rsidR="00D835BB" w:rsidRDefault="00D835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77777777" w:rsidR="00D835BB" w:rsidRPr="00D82162" w:rsidRDefault="00D835B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D835BB" w:rsidRDefault="00D835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77777777" w:rsidR="00D835BB" w:rsidRPr="00BC47C9" w:rsidRDefault="00D835B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D835BB" w:rsidRPr="00BC47C9" w:rsidRDefault="00D835B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97D3B"/>
    <w:multiLevelType w:val="multilevel"/>
    <w:tmpl w:val="0FB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9B03D7"/>
    <w:multiLevelType w:val="multilevel"/>
    <w:tmpl w:val="187C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35127"/>
    <w:multiLevelType w:val="hybridMultilevel"/>
    <w:tmpl w:val="BB18FC82"/>
    <w:lvl w:ilvl="0" w:tplc="17B017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6D568B"/>
    <w:multiLevelType w:val="multilevel"/>
    <w:tmpl w:val="A9A0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5A87811"/>
    <w:multiLevelType w:val="multilevel"/>
    <w:tmpl w:val="D4A0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0"/>
  </w:num>
  <w:num w:numId="15">
    <w:abstractNumId w:val="25"/>
  </w:num>
  <w:num w:numId="16">
    <w:abstractNumId w:val="16"/>
  </w:num>
  <w:num w:numId="17">
    <w:abstractNumId w:val="22"/>
  </w:num>
  <w:num w:numId="18">
    <w:abstractNumId w:val="9"/>
  </w:num>
  <w:num w:numId="19">
    <w:abstractNumId w:val="19"/>
  </w:num>
  <w:num w:numId="20">
    <w:abstractNumId w:val="10"/>
  </w:num>
  <w:num w:numId="21">
    <w:abstractNumId w:val="13"/>
  </w:num>
  <w:num w:numId="22">
    <w:abstractNumId w:val="15"/>
  </w:num>
  <w:num w:numId="23">
    <w:abstractNumId w:val="12"/>
  </w:num>
  <w:num w:numId="24">
    <w:abstractNumId w:val="24"/>
  </w:num>
  <w:num w:numId="25">
    <w:abstractNumId w:val="27"/>
  </w:num>
  <w:num w:numId="26">
    <w:abstractNumId w:val="17"/>
  </w:num>
  <w:num w:numId="27">
    <w:abstractNumId w:val="14"/>
  </w:num>
  <w:num w:numId="28">
    <w:abstractNumId w:val="23"/>
  </w:num>
  <w:num w:numId="29">
    <w:abstractNumId w:val="24"/>
  </w:num>
  <w:num w:numId="30">
    <w:abstractNumId w:val="24"/>
  </w:num>
  <w:num w:numId="31">
    <w:abstractNumId w:val="24"/>
  </w:num>
  <w:num w:numId="32">
    <w:abstractNumId w:val="24"/>
  </w:num>
  <w:num w:numId="33">
    <w:abstractNumId w:val="24"/>
  </w:num>
  <w:num w:numId="34">
    <w:abstractNumId w:val="21"/>
  </w:num>
  <w:num w:numId="35">
    <w:abstractNumId w:val="24"/>
  </w:num>
  <w:num w:numId="36">
    <w:abstractNumId w:val="24"/>
  </w:num>
  <w:num w:numId="37">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1F"/>
    <w:rsid w:val="00014895"/>
    <w:rsid w:val="00014CC5"/>
    <w:rsid w:val="00014EE4"/>
    <w:rsid w:val="00016480"/>
    <w:rsid w:val="00017438"/>
    <w:rsid w:val="00017889"/>
    <w:rsid w:val="000179CD"/>
    <w:rsid w:val="000179DC"/>
    <w:rsid w:val="00020CC1"/>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602"/>
    <w:rsid w:val="00036C56"/>
    <w:rsid w:val="00036D4F"/>
    <w:rsid w:val="00036F99"/>
    <w:rsid w:val="000370D6"/>
    <w:rsid w:val="0003710A"/>
    <w:rsid w:val="0003752A"/>
    <w:rsid w:val="00037701"/>
    <w:rsid w:val="00037C20"/>
    <w:rsid w:val="00037C8B"/>
    <w:rsid w:val="00040880"/>
    <w:rsid w:val="00040923"/>
    <w:rsid w:val="0004290E"/>
    <w:rsid w:val="0004316F"/>
    <w:rsid w:val="00043688"/>
    <w:rsid w:val="00043CCA"/>
    <w:rsid w:val="000446E5"/>
    <w:rsid w:val="000458E5"/>
    <w:rsid w:val="00046087"/>
    <w:rsid w:val="00046266"/>
    <w:rsid w:val="00046AA9"/>
    <w:rsid w:val="00047775"/>
    <w:rsid w:val="00051103"/>
    <w:rsid w:val="00051121"/>
    <w:rsid w:val="000519D4"/>
    <w:rsid w:val="00052CA1"/>
    <w:rsid w:val="00052FBC"/>
    <w:rsid w:val="00053218"/>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76F81"/>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002"/>
    <w:rsid w:val="0009616C"/>
    <w:rsid w:val="0009623C"/>
    <w:rsid w:val="00096504"/>
    <w:rsid w:val="00096BD0"/>
    <w:rsid w:val="000972D6"/>
    <w:rsid w:val="000A0FDD"/>
    <w:rsid w:val="000A1BB2"/>
    <w:rsid w:val="000A320D"/>
    <w:rsid w:val="000A32AE"/>
    <w:rsid w:val="000A375E"/>
    <w:rsid w:val="000A4350"/>
    <w:rsid w:val="000A4D99"/>
    <w:rsid w:val="000A53D1"/>
    <w:rsid w:val="000A5558"/>
    <w:rsid w:val="000A573C"/>
    <w:rsid w:val="000A5D96"/>
    <w:rsid w:val="000A6B9D"/>
    <w:rsid w:val="000A7C60"/>
    <w:rsid w:val="000A7DBE"/>
    <w:rsid w:val="000B0033"/>
    <w:rsid w:val="000B0064"/>
    <w:rsid w:val="000B0347"/>
    <w:rsid w:val="000B0CB0"/>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317"/>
    <w:rsid w:val="000C347E"/>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367"/>
    <w:rsid w:val="000D4ED5"/>
    <w:rsid w:val="000D575C"/>
    <w:rsid w:val="000D57A6"/>
    <w:rsid w:val="000D5914"/>
    <w:rsid w:val="000D5EA9"/>
    <w:rsid w:val="000D7E13"/>
    <w:rsid w:val="000E02A2"/>
    <w:rsid w:val="000E1409"/>
    <w:rsid w:val="000E15F0"/>
    <w:rsid w:val="000E186B"/>
    <w:rsid w:val="000E2CD0"/>
    <w:rsid w:val="000E332C"/>
    <w:rsid w:val="000E3D1C"/>
    <w:rsid w:val="000E42D6"/>
    <w:rsid w:val="000E5856"/>
    <w:rsid w:val="000E6A6B"/>
    <w:rsid w:val="000E6B26"/>
    <w:rsid w:val="000E6DE9"/>
    <w:rsid w:val="000E78E6"/>
    <w:rsid w:val="000F1540"/>
    <w:rsid w:val="000F1D2C"/>
    <w:rsid w:val="000F2DB1"/>
    <w:rsid w:val="000F2F71"/>
    <w:rsid w:val="000F31F1"/>
    <w:rsid w:val="000F3A91"/>
    <w:rsid w:val="000F3EF9"/>
    <w:rsid w:val="000F42D4"/>
    <w:rsid w:val="000F48C6"/>
    <w:rsid w:val="000F4E9B"/>
    <w:rsid w:val="000F5071"/>
    <w:rsid w:val="000F58B9"/>
    <w:rsid w:val="000F5975"/>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47FA2"/>
    <w:rsid w:val="00150468"/>
    <w:rsid w:val="00150A99"/>
    <w:rsid w:val="00150AD7"/>
    <w:rsid w:val="00150C06"/>
    <w:rsid w:val="0015140C"/>
    <w:rsid w:val="001514E5"/>
    <w:rsid w:val="00152149"/>
    <w:rsid w:val="00152411"/>
    <w:rsid w:val="00152651"/>
    <w:rsid w:val="00152920"/>
    <w:rsid w:val="001530C9"/>
    <w:rsid w:val="00154431"/>
    <w:rsid w:val="00154714"/>
    <w:rsid w:val="00155E84"/>
    <w:rsid w:val="00156758"/>
    <w:rsid w:val="00156C78"/>
    <w:rsid w:val="00157282"/>
    <w:rsid w:val="00157861"/>
    <w:rsid w:val="0016126C"/>
    <w:rsid w:val="001612D2"/>
    <w:rsid w:val="00161301"/>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1A73"/>
    <w:rsid w:val="0018254B"/>
    <w:rsid w:val="00182936"/>
    <w:rsid w:val="00182C1D"/>
    <w:rsid w:val="00182D32"/>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2D1"/>
    <w:rsid w:val="001A6F0A"/>
    <w:rsid w:val="001A71F3"/>
    <w:rsid w:val="001A7290"/>
    <w:rsid w:val="001B0D8D"/>
    <w:rsid w:val="001B13EE"/>
    <w:rsid w:val="001B214F"/>
    <w:rsid w:val="001B21E6"/>
    <w:rsid w:val="001B25C5"/>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D72FD"/>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D29"/>
    <w:rsid w:val="00226F79"/>
    <w:rsid w:val="002270B9"/>
    <w:rsid w:val="002272A9"/>
    <w:rsid w:val="0022745E"/>
    <w:rsid w:val="00227AF5"/>
    <w:rsid w:val="00227EDE"/>
    <w:rsid w:val="00230CBE"/>
    <w:rsid w:val="002314A5"/>
    <w:rsid w:val="002319C1"/>
    <w:rsid w:val="00231E84"/>
    <w:rsid w:val="00233018"/>
    <w:rsid w:val="0023337B"/>
    <w:rsid w:val="0023373B"/>
    <w:rsid w:val="00233E4F"/>
    <w:rsid w:val="00234D7C"/>
    <w:rsid w:val="00234D80"/>
    <w:rsid w:val="002352FE"/>
    <w:rsid w:val="002360FF"/>
    <w:rsid w:val="00236C1F"/>
    <w:rsid w:val="00237078"/>
    <w:rsid w:val="00237AC2"/>
    <w:rsid w:val="00240E9D"/>
    <w:rsid w:val="00241017"/>
    <w:rsid w:val="002424D1"/>
    <w:rsid w:val="00242A5F"/>
    <w:rsid w:val="00244055"/>
    <w:rsid w:val="00244A77"/>
    <w:rsid w:val="00244EAC"/>
    <w:rsid w:val="0024537E"/>
    <w:rsid w:val="00246C60"/>
    <w:rsid w:val="00246E58"/>
    <w:rsid w:val="00246F92"/>
    <w:rsid w:val="00247011"/>
    <w:rsid w:val="0024735D"/>
    <w:rsid w:val="0025062F"/>
    <w:rsid w:val="0025085A"/>
    <w:rsid w:val="002510BD"/>
    <w:rsid w:val="0025112B"/>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4DF2"/>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643"/>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1BF7"/>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0A1B"/>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017"/>
    <w:rsid w:val="00305117"/>
    <w:rsid w:val="003056B0"/>
    <w:rsid w:val="00305BBF"/>
    <w:rsid w:val="00305C58"/>
    <w:rsid w:val="00305D4A"/>
    <w:rsid w:val="003068C2"/>
    <w:rsid w:val="00306CD9"/>
    <w:rsid w:val="00306CE7"/>
    <w:rsid w:val="00307646"/>
    <w:rsid w:val="0030794C"/>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4B6"/>
    <w:rsid w:val="00323993"/>
    <w:rsid w:val="00323D75"/>
    <w:rsid w:val="00323F85"/>
    <w:rsid w:val="00324072"/>
    <w:rsid w:val="00324860"/>
    <w:rsid w:val="0032695E"/>
    <w:rsid w:val="00326C30"/>
    <w:rsid w:val="003274CF"/>
    <w:rsid w:val="00327DE4"/>
    <w:rsid w:val="00330697"/>
    <w:rsid w:val="00332B5E"/>
    <w:rsid w:val="0033419B"/>
    <w:rsid w:val="00335008"/>
    <w:rsid w:val="00335A70"/>
    <w:rsid w:val="00335BF2"/>
    <w:rsid w:val="00336211"/>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BA5"/>
    <w:rsid w:val="00351C0A"/>
    <w:rsid w:val="00351FEB"/>
    <w:rsid w:val="0035227C"/>
    <w:rsid w:val="00352E29"/>
    <w:rsid w:val="0035458E"/>
    <w:rsid w:val="003545C6"/>
    <w:rsid w:val="00354922"/>
    <w:rsid w:val="003607D0"/>
    <w:rsid w:val="00360AC3"/>
    <w:rsid w:val="0036140D"/>
    <w:rsid w:val="00361FFB"/>
    <w:rsid w:val="003623ED"/>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5E1C"/>
    <w:rsid w:val="00376ADE"/>
    <w:rsid w:val="0037716D"/>
    <w:rsid w:val="00380013"/>
    <w:rsid w:val="003817B4"/>
    <w:rsid w:val="003818B5"/>
    <w:rsid w:val="0038256A"/>
    <w:rsid w:val="003835E6"/>
    <w:rsid w:val="00383F5D"/>
    <w:rsid w:val="0038413A"/>
    <w:rsid w:val="00384464"/>
    <w:rsid w:val="003858C7"/>
    <w:rsid w:val="00385F30"/>
    <w:rsid w:val="003871D3"/>
    <w:rsid w:val="00387275"/>
    <w:rsid w:val="00387B58"/>
    <w:rsid w:val="00387F1B"/>
    <w:rsid w:val="00390236"/>
    <w:rsid w:val="003908DA"/>
    <w:rsid w:val="003908E0"/>
    <w:rsid w:val="003924D4"/>
    <w:rsid w:val="00392B98"/>
    <w:rsid w:val="003931FA"/>
    <w:rsid w:val="003936A6"/>
    <w:rsid w:val="003936BE"/>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5B17"/>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B7CEA"/>
    <w:rsid w:val="003C1A62"/>
    <w:rsid w:val="003C234F"/>
    <w:rsid w:val="003C236C"/>
    <w:rsid w:val="003C2A30"/>
    <w:rsid w:val="003C2B5C"/>
    <w:rsid w:val="003C4068"/>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24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54C"/>
    <w:rsid w:val="004247D5"/>
    <w:rsid w:val="00424AA5"/>
    <w:rsid w:val="00424AF1"/>
    <w:rsid w:val="00424C98"/>
    <w:rsid w:val="00426ED2"/>
    <w:rsid w:val="00427C5B"/>
    <w:rsid w:val="00430931"/>
    <w:rsid w:val="00431871"/>
    <w:rsid w:val="00432334"/>
    <w:rsid w:val="004323BD"/>
    <w:rsid w:val="004329D0"/>
    <w:rsid w:val="00434C11"/>
    <w:rsid w:val="0043507C"/>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2FE3"/>
    <w:rsid w:val="004530A2"/>
    <w:rsid w:val="004532CB"/>
    <w:rsid w:val="00453335"/>
    <w:rsid w:val="00453C3C"/>
    <w:rsid w:val="00453F79"/>
    <w:rsid w:val="004541B6"/>
    <w:rsid w:val="004543B9"/>
    <w:rsid w:val="00455005"/>
    <w:rsid w:val="004552DE"/>
    <w:rsid w:val="00456084"/>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79"/>
    <w:rsid w:val="004746A3"/>
    <w:rsid w:val="00474E5F"/>
    <w:rsid w:val="004763B5"/>
    <w:rsid w:val="0047659D"/>
    <w:rsid w:val="0048096A"/>
    <w:rsid w:val="004809C3"/>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0E16"/>
    <w:rsid w:val="004A186A"/>
    <w:rsid w:val="004A1A0D"/>
    <w:rsid w:val="004A1B5F"/>
    <w:rsid w:val="004A204C"/>
    <w:rsid w:val="004A2FF4"/>
    <w:rsid w:val="004A32C4"/>
    <w:rsid w:val="004A3781"/>
    <w:rsid w:val="004A3A88"/>
    <w:rsid w:val="004A44E7"/>
    <w:rsid w:val="004A54ED"/>
    <w:rsid w:val="004A686B"/>
    <w:rsid w:val="004A6975"/>
    <w:rsid w:val="004A7492"/>
    <w:rsid w:val="004A7704"/>
    <w:rsid w:val="004B056A"/>
    <w:rsid w:val="004B05F3"/>
    <w:rsid w:val="004B1387"/>
    <w:rsid w:val="004B1474"/>
    <w:rsid w:val="004B1D46"/>
    <w:rsid w:val="004B1E0D"/>
    <w:rsid w:val="004B2584"/>
    <w:rsid w:val="004B2B29"/>
    <w:rsid w:val="004B2E59"/>
    <w:rsid w:val="004B3EFA"/>
    <w:rsid w:val="004B443F"/>
    <w:rsid w:val="004B47E1"/>
    <w:rsid w:val="004B5BB2"/>
    <w:rsid w:val="004B5F5D"/>
    <w:rsid w:val="004B615A"/>
    <w:rsid w:val="004B640C"/>
    <w:rsid w:val="004B7BD8"/>
    <w:rsid w:val="004B7F4C"/>
    <w:rsid w:val="004C0310"/>
    <w:rsid w:val="004C0814"/>
    <w:rsid w:val="004C0A3F"/>
    <w:rsid w:val="004C1006"/>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BC"/>
    <w:rsid w:val="004D34D7"/>
    <w:rsid w:val="004D3983"/>
    <w:rsid w:val="004D3C82"/>
    <w:rsid w:val="004D4A81"/>
    <w:rsid w:val="004D4D6D"/>
    <w:rsid w:val="004D51F9"/>
    <w:rsid w:val="004D5375"/>
    <w:rsid w:val="004D5D91"/>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1E13"/>
    <w:rsid w:val="004F2004"/>
    <w:rsid w:val="004F21BD"/>
    <w:rsid w:val="004F2B88"/>
    <w:rsid w:val="004F351A"/>
    <w:rsid w:val="004F3DE6"/>
    <w:rsid w:val="004F445A"/>
    <w:rsid w:val="004F5EDE"/>
    <w:rsid w:val="00500D62"/>
    <w:rsid w:val="005014DB"/>
    <w:rsid w:val="00502910"/>
    <w:rsid w:val="00502E46"/>
    <w:rsid w:val="00502E91"/>
    <w:rsid w:val="00503F6F"/>
    <w:rsid w:val="005045D6"/>
    <w:rsid w:val="00504EF3"/>
    <w:rsid w:val="0050547A"/>
    <w:rsid w:val="0050568A"/>
    <w:rsid w:val="00507C3B"/>
    <w:rsid w:val="00510B36"/>
    <w:rsid w:val="005110F6"/>
    <w:rsid w:val="00511B41"/>
    <w:rsid w:val="00511DBE"/>
    <w:rsid w:val="005123DD"/>
    <w:rsid w:val="00512BE3"/>
    <w:rsid w:val="00512EEB"/>
    <w:rsid w:val="0051340C"/>
    <w:rsid w:val="00513DA4"/>
    <w:rsid w:val="00514F8A"/>
    <w:rsid w:val="00515003"/>
    <w:rsid w:val="00515632"/>
    <w:rsid w:val="0051614F"/>
    <w:rsid w:val="005164C5"/>
    <w:rsid w:val="00516720"/>
    <w:rsid w:val="0051691B"/>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77C"/>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202"/>
    <w:rsid w:val="005627AF"/>
    <w:rsid w:val="00563583"/>
    <w:rsid w:val="00563B1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0CE"/>
    <w:rsid w:val="00585170"/>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5847"/>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6DE5"/>
    <w:rsid w:val="005F7074"/>
    <w:rsid w:val="005F7243"/>
    <w:rsid w:val="0060011C"/>
    <w:rsid w:val="006003A2"/>
    <w:rsid w:val="006004F9"/>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691"/>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18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DD2"/>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6A6E"/>
    <w:rsid w:val="006D7864"/>
    <w:rsid w:val="006D7DFC"/>
    <w:rsid w:val="006E0158"/>
    <w:rsid w:val="006E07B2"/>
    <w:rsid w:val="006E1596"/>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2118"/>
    <w:rsid w:val="006F3B76"/>
    <w:rsid w:val="006F636F"/>
    <w:rsid w:val="006F68EF"/>
    <w:rsid w:val="007004B2"/>
    <w:rsid w:val="00700573"/>
    <w:rsid w:val="00700BF3"/>
    <w:rsid w:val="007016C5"/>
    <w:rsid w:val="0070326C"/>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3F01"/>
    <w:rsid w:val="0073440A"/>
    <w:rsid w:val="00734608"/>
    <w:rsid w:val="007346CD"/>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36B6"/>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B8D"/>
    <w:rsid w:val="00765D69"/>
    <w:rsid w:val="00766DD7"/>
    <w:rsid w:val="00770181"/>
    <w:rsid w:val="00770D57"/>
    <w:rsid w:val="00771627"/>
    <w:rsid w:val="00773633"/>
    <w:rsid w:val="00774CC6"/>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2BC"/>
    <w:rsid w:val="007979B4"/>
    <w:rsid w:val="007A0253"/>
    <w:rsid w:val="007A02B7"/>
    <w:rsid w:val="007A057C"/>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1762"/>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499"/>
    <w:rsid w:val="007C5767"/>
    <w:rsid w:val="007C592D"/>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4F0C"/>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157"/>
    <w:rsid w:val="007F73D9"/>
    <w:rsid w:val="007F75D5"/>
    <w:rsid w:val="007F7660"/>
    <w:rsid w:val="00800FD4"/>
    <w:rsid w:val="00801395"/>
    <w:rsid w:val="008018D3"/>
    <w:rsid w:val="00801B76"/>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565"/>
    <w:rsid w:val="00817727"/>
    <w:rsid w:val="00817934"/>
    <w:rsid w:val="00817A3B"/>
    <w:rsid w:val="00820186"/>
    <w:rsid w:val="008202FA"/>
    <w:rsid w:val="008243AE"/>
    <w:rsid w:val="00824853"/>
    <w:rsid w:val="00824AFE"/>
    <w:rsid w:val="00825391"/>
    <w:rsid w:val="00825581"/>
    <w:rsid w:val="00825AEE"/>
    <w:rsid w:val="008261CF"/>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3B96"/>
    <w:rsid w:val="00845F50"/>
    <w:rsid w:val="00845F72"/>
    <w:rsid w:val="00847BC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BE2"/>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85D"/>
    <w:rsid w:val="00872AC7"/>
    <w:rsid w:val="00872DD7"/>
    <w:rsid w:val="00873F1B"/>
    <w:rsid w:val="008741CF"/>
    <w:rsid w:val="008743A8"/>
    <w:rsid w:val="00876C77"/>
    <w:rsid w:val="00880324"/>
    <w:rsid w:val="00880C95"/>
    <w:rsid w:val="008818F4"/>
    <w:rsid w:val="00882E01"/>
    <w:rsid w:val="00883873"/>
    <w:rsid w:val="00883FDE"/>
    <w:rsid w:val="008846DA"/>
    <w:rsid w:val="00884BC8"/>
    <w:rsid w:val="0088552D"/>
    <w:rsid w:val="00885D88"/>
    <w:rsid w:val="00885F4B"/>
    <w:rsid w:val="00887392"/>
    <w:rsid w:val="00890189"/>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2E50"/>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9E"/>
    <w:rsid w:val="008D3ABB"/>
    <w:rsid w:val="008D3F63"/>
    <w:rsid w:val="008D4357"/>
    <w:rsid w:val="008D4609"/>
    <w:rsid w:val="008D49BD"/>
    <w:rsid w:val="008D4E28"/>
    <w:rsid w:val="008D54F1"/>
    <w:rsid w:val="008D56C7"/>
    <w:rsid w:val="008D75FF"/>
    <w:rsid w:val="008D7636"/>
    <w:rsid w:val="008D78AC"/>
    <w:rsid w:val="008D7E95"/>
    <w:rsid w:val="008E0408"/>
    <w:rsid w:val="008E0584"/>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A18"/>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729"/>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6ED3"/>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52B0"/>
    <w:rsid w:val="00986415"/>
    <w:rsid w:val="00986770"/>
    <w:rsid w:val="0098752F"/>
    <w:rsid w:val="00987D79"/>
    <w:rsid w:val="00987E09"/>
    <w:rsid w:val="00990C98"/>
    <w:rsid w:val="0099105C"/>
    <w:rsid w:val="00991354"/>
    <w:rsid w:val="00991776"/>
    <w:rsid w:val="00991D6F"/>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067"/>
    <w:rsid w:val="009B137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986"/>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1CD3"/>
    <w:rsid w:val="009F397F"/>
    <w:rsid w:val="009F5219"/>
    <w:rsid w:val="009F562B"/>
    <w:rsid w:val="009F5928"/>
    <w:rsid w:val="009F5ED9"/>
    <w:rsid w:val="009F6220"/>
    <w:rsid w:val="00A00928"/>
    <w:rsid w:val="00A0097F"/>
    <w:rsid w:val="00A00C0E"/>
    <w:rsid w:val="00A01482"/>
    <w:rsid w:val="00A0178B"/>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4AF7"/>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867"/>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6760D"/>
    <w:rsid w:val="00A7008A"/>
    <w:rsid w:val="00A70C47"/>
    <w:rsid w:val="00A70F65"/>
    <w:rsid w:val="00A731F4"/>
    <w:rsid w:val="00A737D5"/>
    <w:rsid w:val="00A74195"/>
    <w:rsid w:val="00A7496F"/>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C26"/>
    <w:rsid w:val="00A95EE2"/>
    <w:rsid w:val="00A967DA"/>
    <w:rsid w:val="00A97807"/>
    <w:rsid w:val="00AA0537"/>
    <w:rsid w:val="00AA1764"/>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A7FA9"/>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116"/>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A36"/>
    <w:rsid w:val="00AF3E7C"/>
    <w:rsid w:val="00AF4A37"/>
    <w:rsid w:val="00AF58F9"/>
    <w:rsid w:val="00AF59BA"/>
    <w:rsid w:val="00AF7939"/>
    <w:rsid w:val="00B0031C"/>
    <w:rsid w:val="00B00EE0"/>
    <w:rsid w:val="00B01A3C"/>
    <w:rsid w:val="00B02221"/>
    <w:rsid w:val="00B030C4"/>
    <w:rsid w:val="00B03D7D"/>
    <w:rsid w:val="00B04AE5"/>
    <w:rsid w:val="00B0640D"/>
    <w:rsid w:val="00B06749"/>
    <w:rsid w:val="00B067C7"/>
    <w:rsid w:val="00B074B9"/>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292"/>
    <w:rsid w:val="00B2554F"/>
    <w:rsid w:val="00B255E7"/>
    <w:rsid w:val="00B27203"/>
    <w:rsid w:val="00B277EC"/>
    <w:rsid w:val="00B27F1B"/>
    <w:rsid w:val="00B30128"/>
    <w:rsid w:val="00B30C1B"/>
    <w:rsid w:val="00B3292C"/>
    <w:rsid w:val="00B334CB"/>
    <w:rsid w:val="00B34E40"/>
    <w:rsid w:val="00B3634B"/>
    <w:rsid w:val="00B37257"/>
    <w:rsid w:val="00B40AF0"/>
    <w:rsid w:val="00B411BD"/>
    <w:rsid w:val="00B417D8"/>
    <w:rsid w:val="00B4204E"/>
    <w:rsid w:val="00B4254A"/>
    <w:rsid w:val="00B42CF2"/>
    <w:rsid w:val="00B42E58"/>
    <w:rsid w:val="00B42EE6"/>
    <w:rsid w:val="00B4323F"/>
    <w:rsid w:val="00B45BB6"/>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6789A"/>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1B3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7B2"/>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5C9"/>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176C"/>
    <w:rsid w:val="00C4295F"/>
    <w:rsid w:val="00C4325E"/>
    <w:rsid w:val="00C43947"/>
    <w:rsid w:val="00C43B6D"/>
    <w:rsid w:val="00C44BAC"/>
    <w:rsid w:val="00C44F39"/>
    <w:rsid w:val="00C46100"/>
    <w:rsid w:val="00C464E2"/>
    <w:rsid w:val="00C46A26"/>
    <w:rsid w:val="00C46CE7"/>
    <w:rsid w:val="00C476D2"/>
    <w:rsid w:val="00C501CB"/>
    <w:rsid w:val="00C52CCA"/>
    <w:rsid w:val="00C53270"/>
    <w:rsid w:val="00C540F0"/>
    <w:rsid w:val="00C5423E"/>
    <w:rsid w:val="00C546F8"/>
    <w:rsid w:val="00C55D1F"/>
    <w:rsid w:val="00C561B5"/>
    <w:rsid w:val="00C56D4F"/>
    <w:rsid w:val="00C575F1"/>
    <w:rsid w:val="00C57EBB"/>
    <w:rsid w:val="00C602CD"/>
    <w:rsid w:val="00C60305"/>
    <w:rsid w:val="00C61652"/>
    <w:rsid w:val="00C61ACC"/>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91"/>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563C"/>
    <w:rsid w:val="00CB60D4"/>
    <w:rsid w:val="00CB61EF"/>
    <w:rsid w:val="00CB6219"/>
    <w:rsid w:val="00CB674D"/>
    <w:rsid w:val="00CB6D4C"/>
    <w:rsid w:val="00CB6EF2"/>
    <w:rsid w:val="00CB73C9"/>
    <w:rsid w:val="00CB77C8"/>
    <w:rsid w:val="00CB78BF"/>
    <w:rsid w:val="00CC0B78"/>
    <w:rsid w:val="00CC0ECD"/>
    <w:rsid w:val="00CC1031"/>
    <w:rsid w:val="00CC14DB"/>
    <w:rsid w:val="00CC1EF7"/>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DE3"/>
    <w:rsid w:val="00CD2E94"/>
    <w:rsid w:val="00CD52EE"/>
    <w:rsid w:val="00CD5554"/>
    <w:rsid w:val="00CD5829"/>
    <w:rsid w:val="00CD5B09"/>
    <w:rsid w:val="00CD7FDE"/>
    <w:rsid w:val="00CD7FE9"/>
    <w:rsid w:val="00CE0532"/>
    <w:rsid w:val="00CE17B4"/>
    <w:rsid w:val="00CE1FF0"/>
    <w:rsid w:val="00CE2C37"/>
    <w:rsid w:val="00CE4AD1"/>
    <w:rsid w:val="00CE4D74"/>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6C9"/>
    <w:rsid w:val="00D006FA"/>
    <w:rsid w:val="00D0079C"/>
    <w:rsid w:val="00D025A7"/>
    <w:rsid w:val="00D030B3"/>
    <w:rsid w:val="00D04554"/>
    <w:rsid w:val="00D054CD"/>
    <w:rsid w:val="00D0574D"/>
    <w:rsid w:val="00D06987"/>
    <w:rsid w:val="00D074B8"/>
    <w:rsid w:val="00D07633"/>
    <w:rsid w:val="00D07772"/>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25"/>
    <w:rsid w:val="00D82DDD"/>
    <w:rsid w:val="00D833EB"/>
    <w:rsid w:val="00D835BB"/>
    <w:rsid w:val="00D83637"/>
    <w:rsid w:val="00D836EB"/>
    <w:rsid w:val="00D837FC"/>
    <w:rsid w:val="00D84FEF"/>
    <w:rsid w:val="00D861B7"/>
    <w:rsid w:val="00D8654D"/>
    <w:rsid w:val="00D866EF"/>
    <w:rsid w:val="00D8772E"/>
    <w:rsid w:val="00D9000A"/>
    <w:rsid w:val="00D902CA"/>
    <w:rsid w:val="00D90985"/>
    <w:rsid w:val="00D91466"/>
    <w:rsid w:val="00D9185B"/>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2B43"/>
    <w:rsid w:val="00DD30D4"/>
    <w:rsid w:val="00DD30DA"/>
    <w:rsid w:val="00DD3AA8"/>
    <w:rsid w:val="00DD3AE7"/>
    <w:rsid w:val="00DD3E74"/>
    <w:rsid w:val="00DD3EA5"/>
    <w:rsid w:val="00DD4E28"/>
    <w:rsid w:val="00DD53AC"/>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64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1D"/>
    <w:rsid w:val="00E03079"/>
    <w:rsid w:val="00E040ED"/>
    <w:rsid w:val="00E048C6"/>
    <w:rsid w:val="00E049E4"/>
    <w:rsid w:val="00E0525F"/>
    <w:rsid w:val="00E05F4F"/>
    <w:rsid w:val="00E05F8B"/>
    <w:rsid w:val="00E06A38"/>
    <w:rsid w:val="00E10565"/>
    <w:rsid w:val="00E10986"/>
    <w:rsid w:val="00E1185E"/>
    <w:rsid w:val="00E11877"/>
    <w:rsid w:val="00E127D2"/>
    <w:rsid w:val="00E1351F"/>
    <w:rsid w:val="00E137E3"/>
    <w:rsid w:val="00E14286"/>
    <w:rsid w:val="00E14B87"/>
    <w:rsid w:val="00E15F71"/>
    <w:rsid w:val="00E16A76"/>
    <w:rsid w:val="00E16B00"/>
    <w:rsid w:val="00E2099F"/>
    <w:rsid w:val="00E20E40"/>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01E"/>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717"/>
    <w:rsid w:val="00E51DE5"/>
    <w:rsid w:val="00E51ED2"/>
    <w:rsid w:val="00E52488"/>
    <w:rsid w:val="00E524E8"/>
    <w:rsid w:val="00E526D1"/>
    <w:rsid w:val="00E529E6"/>
    <w:rsid w:val="00E5331C"/>
    <w:rsid w:val="00E53C23"/>
    <w:rsid w:val="00E53D3E"/>
    <w:rsid w:val="00E54ACE"/>
    <w:rsid w:val="00E54AF2"/>
    <w:rsid w:val="00E54B86"/>
    <w:rsid w:val="00E54FFE"/>
    <w:rsid w:val="00E55333"/>
    <w:rsid w:val="00E558D5"/>
    <w:rsid w:val="00E55BED"/>
    <w:rsid w:val="00E55EAF"/>
    <w:rsid w:val="00E61080"/>
    <w:rsid w:val="00E62540"/>
    <w:rsid w:val="00E63653"/>
    <w:rsid w:val="00E64250"/>
    <w:rsid w:val="00E647ED"/>
    <w:rsid w:val="00E6483C"/>
    <w:rsid w:val="00E650DD"/>
    <w:rsid w:val="00E655AF"/>
    <w:rsid w:val="00E65D20"/>
    <w:rsid w:val="00E66E60"/>
    <w:rsid w:val="00E6723C"/>
    <w:rsid w:val="00E6771F"/>
    <w:rsid w:val="00E67F9A"/>
    <w:rsid w:val="00E7006B"/>
    <w:rsid w:val="00E703F4"/>
    <w:rsid w:val="00E7130A"/>
    <w:rsid w:val="00E715FF"/>
    <w:rsid w:val="00E74ED6"/>
    <w:rsid w:val="00E76954"/>
    <w:rsid w:val="00E77633"/>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DF5"/>
    <w:rsid w:val="00E90FF7"/>
    <w:rsid w:val="00E91041"/>
    <w:rsid w:val="00E914F9"/>
    <w:rsid w:val="00E93C35"/>
    <w:rsid w:val="00E9531E"/>
    <w:rsid w:val="00E95851"/>
    <w:rsid w:val="00E96150"/>
    <w:rsid w:val="00E966E4"/>
    <w:rsid w:val="00E97561"/>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AEC"/>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5C0"/>
    <w:rsid w:val="00F07C91"/>
    <w:rsid w:val="00F07F84"/>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6D3"/>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223"/>
    <w:rsid w:val="00F36464"/>
    <w:rsid w:val="00F3655E"/>
    <w:rsid w:val="00F375C8"/>
    <w:rsid w:val="00F3760F"/>
    <w:rsid w:val="00F4085B"/>
    <w:rsid w:val="00F41409"/>
    <w:rsid w:val="00F41586"/>
    <w:rsid w:val="00F41A46"/>
    <w:rsid w:val="00F42F63"/>
    <w:rsid w:val="00F4307E"/>
    <w:rsid w:val="00F431E3"/>
    <w:rsid w:val="00F4423A"/>
    <w:rsid w:val="00F4785F"/>
    <w:rsid w:val="00F47D31"/>
    <w:rsid w:val="00F47DCD"/>
    <w:rsid w:val="00F504FC"/>
    <w:rsid w:val="00F50EF1"/>
    <w:rsid w:val="00F5113A"/>
    <w:rsid w:val="00F51D03"/>
    <w:rsid w:val="00F52055"/>
    <w:rsid w:val="00F520BA"/>
    <w:rsid w:val="00F525AD"/>
    <w:rsid w:val="00F53E29"/>
    <w:rsid w:val="00F53F17"/>
    <w:rsid w:val="00F548BD"/>
    <w:rsid w:val="00F54D28"/>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81A"/>
    <w:rsid w:val="00F7097E"/>
    <w:rsid w:val="00F7267A"/>
    <w:rsid w:val="00F726B1"/>
    <w:rsid w:val="00F72F38"/>
    <w:rsid w:val="00F74141"/>
    <w:rsid w:val="00F7600C"/>
    <w:rsid w:val="00F766AF"/>
    <w:rsid w:val="00F77C3D"/>
    <w:rsid w:val="00F77CAA"/>
    <w:rsid w:val="00F801C5"/>
    <w:rsid w:val="00F810CD"/>
    <w:rsid w:val="00F816EC"/>
    <w:rsid w:val="00F81BB5"/>
    <w:rsid w:val="00F82477"/>
    <w:rsid w:val="00F82EC0"/>
    <w:rsid w:val="00F837CF"/>
    <w:rsid w:val="00F84C04"/>
    <w:rsid w:val="00F85115"/>
    <w:rsid w:val="00F85605"/>
    <w:rsid w:val="00F8596E"/>
    <w:rsid w:val="00F85D6B"/>
    <w:rsid w:val="00F864CA"/>
    <w:rsid w:val="00F91034"/>
    <w:rsid w:val="00F9134A"/>
    <w:rsid w:val="00F91758"/>
    <w:rsid w:val="00F9248A"/>
    <w:rsid w:val="00F939CB"/>
    <w:rsid w:val="00F93CFF"/>
    <w:rsid w:val="00F9422A"/>
    <w:rsid w:val="00F943BF"/>
    <w:rsid w:val="00F946BC"/>
    <w:rsid w:val="00F94950"/>
    <w:rsid w:val="00F94E60"/>
    <w:rsid w:val="00F95108"/>
    <w:rsid w:val="00F9569D"/>
    <w:rsid w:val="00F966A8"/>
    <w:rsid w:val="00F96B2E"/>
    <w:rsid w:val="00F96BB4"/>
    <w:rsid w:val="00F972F4"/>
    <w:rsid w:val="00F978BA"/>
    <w:rsid w:val="00FA047B"/>
    <w:rsid w:val="00FA0931"/>
    <w:rsid w:val="00FA186A"/>
    <w:rsid w:val="00FA26D7"/>
    <w:rsid w:val="00FA3521"/>
    <w:rsid w:val="00FA4570"/>
    <w:rsid w:val="00FA45E9"/>
    <w:rsid w:val="00FA48D1"/>
    <w:rsid w:val="00FA5D9B"/>
    <w:rsid w:val="00FA66C7"/>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0ED3"/>
    <w:rsid w:val="00FC1C20"/>
    <w:rsid w:val="00FC1D7E"/>
    <w:rsid w:val="00FC1F09"/>
    <w:rsid w:val="00FC373B"/>
    <w:rsid w:val="00FC44D3"/>
    <w:rsid w:val="00FC4692"/>
    <w:rsid w:val="00FC4B0D"/>
    <w:rsid w:val="00FC642E"/>
    <w:rsid w:val="00FC66C1"/>
    <w:rsid w:val="00FC69CF"/>
    <w:rsid w:val="00FC6C3A"/>
    <w:rsid w:val="00FC6C42"/>
    <w:rsid w:val="00FC6DBE"/>
    <w:rsid w:val="00FC736B"/>
    <w:rsid w:val="00FC74F4"/>
    <w:rsid w:val="00FC7658"/>
    <w:rsid w:val="00FC76C6"/>
    <w:rsid w:val="00FD1650"/>
    <w:rsid w:val="00FD1A8E"/>
    <w:rsid w:val="00FD1E92"/>
    <w:rsid w:val="00FD1FA3"/>
    <w:rsid w:val="00FD210E"/>
    <w:rsid w:val="00FD2178"/>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2725100">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52105796">
      <w:bodyDiv w:val="1"/>
      <w:marLeft w:val="0"/>
      <w:marRight w:val="0"/>
      <w:marTop w:val="0"/>
      <w:marBottom w:val="0"/>
      <w:divBdr>
        <w:top w:val="none" w:sz="0" w:space="0" w:color="auto"/>
        <w:left w:val="none" w:sz="0" w:space="0" w:color="auto"/>
        <w:bottom w:val="none" w:sz="0" w:space="0" w:color="auto"/>
        <w:right w:val="none" w:sz="0" w:space="0" w:color="auto"/>
      </w:divBdr>
      <w:divsChild>
        <w:div w:id="1347635622">
          <w:marLeft w:val="0"/>
          <w:marRight w:val="0"/>
          <w:marTop w:val="0"/>
          <w:marBottom w:val="0"/>
          <w:divBdr>
            <w:top w:val="none" w:sz="0" w:space="0" w:color="auto"/>
            <w:left w:val="none" w:sz="0" w:space="0" w:color="auto"/>
            <w:bottom w:val="none" w:sz="0" w:space="0" w:color="auto"/>
            <w:right w:val="none" w:sz="0" w:space="0" w:color="auto"/>
          </w:divBdr>
          <w:divsChild>
            <w:div w:id="1206681181">
              <w:marLeft w:val="0"/>
              <w:marRight w:val="0"/>
              <w:marTop w:val="0"/>
              <w:marBottom w:val="0"/>
              <w:divBdr>
                <w:top w:val="none" w:sz="0" w:space="0" w:color="auto"/>
                <w:left w:val="none" w:sz="0" w:space="0" w:color="auto"/>
                <w:bottom w:val="none" w:sz="0" w:space="0" w:color="auto"/>
                <w:right w:val="none" w:sz="0" w:space="0" w:color="auto"/>
              </w:divBdr>
              <w:divsChild>
                <w:div w:id="2144885201">
                  <w:marLeft w:val="0"/>
                  <w:marRight w:val="0"/>
                  <w:marTop w:val="0"/>
                  <w:marBottom w:val="0"/>
                  <w:divBdr>
                    <w:top w:val="none" w:sz="0" w:space="0" w:color="auto"/>
                    <w:left w:val="none" w:sz="0" w:space="0" w:color="auto"/>
                    <w:bottom w:val="none" w:sz="0" w:space="0" w:color="auto"/>
                    <w:right w:val="none" w:sz="0" w:space="0" w:color="auto"/>
                  </w:divBdr>
                </w:div>
              </w:divsChild>
            </w:div>
            <w:div w:id="1509559412">
              <w:marLeft w:val="0"/>
              <w:marRight w:val="0"/>
              <w:marTop w:val="0"/>
              <w:marBottom w:val="0"/>
              <w:divBdr>
                <w:top w:val="none" w:sz="0" w:space="0" w:color="auto"/>
                <w:left w:val="none" w:sz="0" w:space="0" w:color="auto"/>
                <w:bottom w:val="none" w:sz="0" w:space="0" w:color="auto"/>
                <w:right w:val="none" w:sz="0" w:space="0" w:color="auto"/>
              </w:divBdr>
              <w:divsChild>
                <w:div w:id="13642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1932">
          <w:marLeft w:val="0"/>
          <w:marRight w:val="0"/>
          <w:marTop w:val="0"/>
          <w:marBottom w:val="0"/>
          <w:divBdr>
            <w:top w:val="none" w:sz="0" w:space="0" w:color="auto"/>
            <w:left w:val="none" w:sz="0" w:space="0" w:color="auto"/>
            <w:bottom w:val="none" w:sz="0" w:space="0" w:color="auto"/>
            <w:right w:val="none" w:sz="0" w:space="0" w:color="auto"/>
          </w:divBdr>
          <w:divsChild>
            <w:div w:id="186332613">
              <w:marLeft w:val="0"/>
              <w:marRight w:val="0"/>
              <w:marTop w:val="0"/>
              <w:marBottom w:val="0"/>
              <w:divBdr>
                <w:top w:val="none" w:sz="0" w:space="0" w:color="auto"/>
                <w:left w:val="none" w:sz="0" w:space="0" w:color="auto"/>
                <w:bottom w:val="none" w:sz="0" w:space="0" w:color="auto"/>
                <w:right w:val="none" w:sz="0" w:space="0" w:color="auto"/>
              </w:divBdr>
              <w:divsChild>
                <w:div w:id="1073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693119223">
      <w:bodyDiv w:val="1"/>
      <w:marLeft w:val="0"/>
      <w:marRight w:val="0"/>
      <w:marTop w:val="0"/>
      <w:marBottom w:val="0"/>
      <w:divBdr>
        <w:top w:val="none" w:sz="0" w:space="0" w:color="auto"/>
        <w:left w:val="none" w:sz="0" w:space="0" w:color="auto"/>
        <w:bottom w:val="none" w:sz="0" w:space="0" w:color="auto"/>
        <w:right w:val="none" w:sz="0" w:space="0" w:color="auto"/>
      </w:divBdr>
      <w:divsChild>
        <w:div w:id="1247836433">
          <w:marLeft w:val="0"/>
          <w:marRight w:val="0"/>
          <w:marTop w:val="0"/>
          <w:marBottom w:val="0"/>
          <w:divBdr>
            <w:top w:val="none" w:sz="0" w:space="0" w:color="auto"/>
            <w:left w:val="none" w:sz="0" w:space="0" w:color="auto"/>
            <w:bottom w:val="none" w:sz="0" w:space="0" w:color="auto"/>
            <w:right w:val="none" w:sz="0" w:space="0" w:color="auto"/>
          </w:divBdr>
          <w:divsChild>
            <w:div w:id="418141766">
              <w:marLeft w:val="0"/>
              <w:marRight w:val="0"/>
              <w:marTop w:val="0"/>
              <w:marBottom w:val="0"/>
              <w:divBdr>
                <w:top w:val="none" w:sz="0" w:space="0" w:color="auto"/>
                <w:left w:val="none" w:sz="0" w:space="0" w:color="auto"/>
                <w:bottom w:val="none" w:sz="0" w:space="0" w:color="auto"/>
                <w:right w:val="none" w:sz="0" w:space="0" w:color="auto"/>
              </w:divBdr>
              <w:divsChild>
                <w:div w:id="464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23173892">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350915979">
      <w:bodyDiv w:val="1"/>
      <w:marLeft w:val="0"/>
      <w:marRight w:val="0"/>
      <w:marTop w:val="0"/>
      <w:marBottom w:val="0"/>
      <w:divBdr>
        <w:top w:val="none" w:sz="0" w:space="0" w:color="auto"/>
        <w:left w:val="none" w:sz="0" w:space="0" w:color="auto"/>
        <w:bottom w:val="none" w:sz="0" w:space="0" w:color="auto"/>
        <w:right w:val="none" w:sz="0" w:space="0" w:color="auto"/>
      </w:divBdr>
    </w:div>
    <w:div w:id="1475754958">
      <w:bodyDiv w:val="1"/>
      <w:marLeft w:val="0"/>
      <w:marRight w:val="0"/>
      <w:marTop w:val="0"/>
      <w:marBottom w:val="0"/>
      <w:divBdr>
        <w:top w:val="none" w:sz="0" w:space="0" w:color="auto"/>
        <w:left w:val="none" w:sz="0" w:space="0" w:color="auto"/>
        <w:bottom w:val="none" w:sz="0" w:space="0" w:color="auto"/>
        <w:right w:val="none" w:sz="0" w:space="0" w:color="auto"/>
      </w:divBdr>
    </w:div>
    <w:div w:id="1505365679">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5984995">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67632055">
      <w:bodyDiv w:val="1"/>
      <w:marLeft w:val="0"/>
      <w:marRight w:val="0"/>
      <w:marTop w:val="0"/>
      <w:marBottom w:val="0"/>
      <w:divBdr>
        <w:top w:val="none" w:sz="0" w:space="0" w:color="auto"/>
        <w:left w:val="none" w:sz="0" w:space="0" w:color="auto"/>
        <w:bottom w:val="none" w:sz="0" w:space="0" w:color="auto"/>
        <w:right w:val="none" w:sz="0" w:space="0" w:color="auto"/>
      </w:divBdr>
    </w:div>
    <w:div w:id="1716420370">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74462220">
      <w:bodyDiv w:val="1"/>
      <w:marLeft w:val="0"/>
      <w:marRight w:val="0"/>
      <w:marTop w:val="0"/>
      <w:marBottom w:val="0"/>
      <w:divBdr>
        <w:top w:val="none" w:sz="0" w:space="0" w:color="auto"/>
        <w:left w:val="none" w:sz="0" w:space="0" w:color="auto"/>
        <w:bottom w:val="none" w:sz="0" w:space="0" w:color="auto"/>
        <w:right w:val="none" w:sz="0" w:space="0" w:color="auto"/>
      </w:divBdr>
    </w:div>
    <w:div w:id="1973513376">
      <w:bodyDiv w:val="1"/>
      <w:marLeft w:val="0"/>
      <w:marRight w:val="0"/>
      <w:marTop w:val="0"/>
      <w:marBottom w:val="0"/>
      <w:divBdr>
        <w:top w:val="none" w:sz="0" w:space="0" w:color="auto"/>
        <w:left w:val="none" w:sz="0" w:space="0" w:color="auto"/>
        <w:bottom w:val="none" w:sz="0" w:space="0" w:color="auto"/>
        <w:right w:val="none" w:sz="0" w:space="0" w:color="auto"/>
      </w:divBdr>
      <w:divsChild>
        <w:div w:id="1748571297">
          <w:marLeft w:val="0"/>
          <w:marRight w:val="0"/>
          <w:marTop w:val="0"/>
          <w:marBottom w:val="0"/>
          <w:divBdr>
            <w:top w:val="none" w:sz="0" w:space="0" w:color="auto"/>
            <w:left w:val="none" w:sz="0" w:space="0" w:color="auto"/>
            <w:bottom w:val="none" w:sz="0" w:space="0" w:color="auto"/>
            <w:right w:val="none" w:sz="0" w:space="0" w:color="auto"/>
          </w:divBdr>
          <w:divsChild>
            <w:div w:id="439956625">
              <w:marLeft w:val="0"/>
              <w:marRight w:val="0"/>
              <w:marTop w:val="0"/>
              <w:marBottom w:val="0"/>
              <w:divBdr>
                <w:top w:val="none" w:sz="0" w:space="0" w:color="auto"/>
                <w:left w:val="none" w:sz="0" w:space="0" w:color="auto"/>
                <w:bottom w:val="none" w:sz="0" w:space="0" w:color="auto"/>
                <w:right w:val="none" w:sz="0" w:space="0" w:color="auto"/>
              </w:divBdr>
              <w:divsChild>
                <w:div w:id="1998341906">
                  <w:marLeft w:val="0"/>
                  <w:marRight w:val="0"/>
                  <w:marTop w:val="0"/>
                  <w:marBottom w:val="0"/>
                  <w:divBdr>
                    <w:top w:val="none" w:sz="0" w:space="0" w:color="auto"/>
                    <w:left w:val="none" w:sz="0" w:space="0" w:color="auto"/>
                    <w:bottom w:val="none" w:sz="0" w:space="0" w:color="auto"/>
                    <w:right w:val="none" w:sz="0" w:space="0" w:color="auto"/>
                  </w:divBdr>
                </w:div>
              </w:divsChild>
            </w:div>
            <w:div w:id="1402748568">
              <w:marLeft w:val="0"/>
              <w:marRight w:val="0"/>
              <w:marTop w:val="0"/>
              <w:marBottom w:val="0"/>
              <w:divBdr>
                <w:top w:val="none" w:sz="0" w:space="0" w:color="auto"/>
                <w:left w:val="none" w:sz="0" w:space="0" w:color="auto"/>
                <w:bottom w:val="none" w:sz="0" w:space="0" w:color="auto"/>
                <w:right w:val="none" w:sz="0" w:space="0" w:color="auto"/>
              </w:divBdr>
              <w:divsChild>
                <w:div w:id="10332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8432">
          <w:marLeft w:val="0"/>
          <w:marRight w:val="0"/>
          <w:marTop w:val="0"/>
          <w:marBottom w:val="0"/>
          <w:divBdr>
            <w:top w:val="none" w:sz="0" w:space="0" w:color="auto"/>
            <w:left w:val="none" w:sz="0" w:space="0" w:color="auto"/>
            <w:bottom w:val="none" w:sz="0" w:space="0" w:color="auto"/>
            <w:right w:val="none" w:sz="0" w:space="0" w:color="auto"/>
          </w:divBdr>
          <w:divsChild>
            <w:div w:id="174077200">
              <w:marLeft w:val="0"/>
              <w:marRight w:val="0"/>
              <w:marTop w:val="0"/>
              <w:marBottom w:val="0"/>
              <w:divBdr>
                <w:top w:val="none" w:sz="0" w:space="0" w:color="auto"/>
                <w:left w:val="none" w:sz="0" w:space="0" w:color="auto"/>
                <w:bottom w:val="none" w:sz="0" w:space="0" w:color="auto"/>
                <w:right w:val="none" w:sz="0" w:space="0" w:color="auto"/>
              </w:divBdr>
              <w:divsChild>
                <w:div w:id="411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39937">
      <w:bodyDiv w:val="1"/>
      <w:marLeft w:val="0"/>
      <w:marRight w:val="0"/>
      <w:marTop w:val="0"/>
      <w:marBottom w:val="0"/>
      <w:divBdr>
        <w:top w:val="none" w:sz="0" w:space="0" w:color="auto"/>
        <w:left w:val="none" w:sz="0" w:space="0" w:color="auto"/>
        <w:bottom w:val="none" w:sz="0" w:space="0" w:color="auto"/>
        <w:right w:val="none" w:sz="0" w:space="0" w:color="auto"/>
      </w:divBdr>
    </w:div>
    <w:div w:id="2099595736">
      <w:bodyDiv w:val="1"/>
      <w:marLeft w:val="0"/>
      <w:marRight w:val="0"/>
      <w:marTop w:val="0"/>
      <w:marBottom w:val="0"/>
      <w:divBdr>
        <w:top w:val="none" w:sz="0" w:space="0" w:color="auto"/>
        <w:left w:val="none" w:sz="0" w:space="0" w:color="auto"/>
        <w:bottom w:val="none" w:sz="0" w:space="0" w:color="auto"/>
        <w:right w:val="none" w:sz="0" w:space="0" w:color="auto"/>
      </w:divBdr>
    </w:div>
    <w:div w:id="2130078863">
      <w:bodyDiv w:val="1"/>
      <w:marLeft w:val="0"/>
      <w:marRight w:val="0"/>
      <w:marTop w:val="0"/>
      <w:marBottom w:val="0"/>
      <w:divBdr>
        <w:top w:val="none" w:sz="0" w:space="0" w:color="auto"/>
        <w:left w:val="none" w:sz="0" w:space="0" w:color="auto"/>
        <w:bottom w:val="none" w:sz="0" w:space="0" w:color="auto"/>
        <w:right w:val="none" w:sz="0" w:space="0" w:color="auto"/>
      </w:divBdr>
      <w:divsChild>
        <w:div w:id="1908759195">
          <w:marLeft w:val="0"/>
          <w:marRight w:val="0"/>
          <w:marTop w:val="0"/>
          <w:marBottom w:val="0"/>
          <w:divBdr>
            <w:top w:val="none" w:sz="0" w:space="0" w:color="auto"/>
            <w:left w:val="none" w:sz="0" w:space="0" w:color="auto"/>
            <w:bottom w:val="none" w:sz="0" w:space="0" w:color="auto"/>
            <w:right w:val="none" w:sz="0" w:space="0" w:color="auto"/>
          </w:divBdr>
          <w:divsChild>
            <w:div w:id="514423015">
              <w:marLeft w:val="0"/>
              <w:marRight w:val="0"/>
              <w:marTop w:val="0"/>
              <w:marBottom w:val="0"/>
              <w:divBdr>
                <w:top w:val="none" w:sz="0" w:space="0" w:color="auto"/>
                <w:left w:val="none" w:sz="0" w:space="0" w:color="auto"/>
                <w:bottom w:val="none" w:sz="0" w:space="0" w:color="auto"/>
                <w:right w:val="none" w:sz="0" w:space="0" w:color="auto"/>
              </w:divBdr>
              <w:divsChild>
                <w:div w:id="9276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92EF5-ADF7-496E-9569-106CD35CF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B1DAC-315F-46E3-B39D-FCACC45257D1}">
  <ds:schemaRefs>
    <ds:schemaRef ds:uri="http://schemas.microsoft.com/sharepoint/v3/contenttype/forms"/>
  </ds:schemaRefs>
</ds:datastoreItem>
</file>

<file path=customXml/itemProps3.xml><?xml version="1.0" encoding="utf-8"?>
<ds:datastoreItem xmlns:ds="http://schemas.openxmlformats.org/officeDocument/2006/customXml" ds:itemID="{A727DE74-A6A1-2146-B822-75BFD607C34B}">
  <ds:schemaRefs>
    <ds:schemaRef ds:uri="http://schemas.openxmlformats.org/officeDocument/2006/bibliography"/>
  </ds:schemaRefs>
</ds:datastoreItem>
</file>

<file path=customXml/itemProps4.xml><?xml version="1.0" encoding="utf-8"?>
<ds:datastoreItem xmlns:ds="http://schemas.openxmlformats.org/officeDocument/2006/customXml" ds:itemID="{A8EEFFE4-BA60-4251-ADB4-F3C32EDCF6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28722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Jim McEachern</cp:lastModifiedBy>
  <cp:revision>6</cp:revision>
  <cp:lastPrinted>2019-04-15T21:36:00Z</cp:lastPrinted>
  <dcterms:created xsi:type="dcterms:W3CDTF">2021-04-27T19:15:00Z</dcterms:created>
  <dcterms:modified xsi:type="dcterms:W3CDTF">2021-04-27T19:18:00Z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