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3CBE8863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1F76FE">
        <w:t xml:space="preserve">2 </w:t>
      </w:r>
      <w:r w:rsidR="00F305A5" w:rsidRPr="00FF154F">
        <w:t>(</w:t>
      </w:r>
      <w:r w:rsidR="00FF154F" w:rsidRPr="00FF154F">
        <w:rPr>
          <w:szCs w:val="18"/>
        </w:rPr>
        <w:t>PTSC-2020-000</w:t>
      </w:r>
      <w:r w:rsidR="009E4179">
        <w:rPr>
          <w:szCs w:val="18"/>
        </w:rPr>
        <w:t>8</w:t>
      </w:r>
      <w:r w:rsidR="00333223">
        <w:rPr>
          <w:szCs w:val="18"/>
        </w:rPr>
        <w:t>2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0FD6E087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FE1603">
              <w:rPr>
                <w:b/>
              </w:rPr>
              <w:t>Neustar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1707B4" w14:paraId="0E7A9D1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33BF13D" w14:textId="77777777" w:rsidR="001707B4" w:rsidRDefault="001707B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DA29B7D" w14:textId="6C6C2E3F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</w:t>
            </w:r>
            <w:r w:rsidR="00F0096A">
              <w:rPr>
                <w:sz w:val="22"/>
                <w:szCs w:val="22"/>
              </w:rPr>
              <w:t>s 28-29</w:t>
            </w:r>
          </w:p>
        </w:tc>
        <w:tc>
          <w:tcPr>
            <w:tcW w:w="3443" w:type="dxa"/>
          </w:tcPr>
          <w:p w14:paraId="3233B439" w14:textId="5EA2DF8B" w:rsidR="001707B4" w:rsidRDefault="00F0096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not required here</w:t>
            </w:r>
            <w:r w:rsidR="009245D4">
              <w:rPr>
                <w:sz w:val="22"/>
                <w:szCs w:val="22"/>
              </w:rPr>
              <w:t xml:space="preserve"> as covered in 1000080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95AFD3" w14:textId="453F0DD2" w:rsidR="001707B4" w:rsidRDefault="00F0096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6DF35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2DDEE1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CCC2380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9812EE" w14:paraId="4C489A9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D347531" w14:textId="77777777" w:rsidR="009812EE" w:rsidRDefault="009812EE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080E00B" w14:textId="38EF2681" w:rsidR="009812EE" w:rsidRDefault="00EC0D7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136</w:t>
            </w:r>
          </w:p>
        </w:tc>
        <w:tc>
          <w:tcPr>
            <w:tcW w:w="3443" w:type="dxa"/>
          </w:tcPr>
          <w:p w14:paraId="4B2000F4" w14:textId="74EEB1EC" w:rsidR="009812EE" w:rsidRDefault="00EC0D7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“ACME” not needed in this definition.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5D16D41" w14:textId="2966C245" w:rsidR="009812EE" w:rsidRDefault="00EC0D7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Delete, “… during the certificate …”</w:t>
            </w:r>
            <w:r w:rsidR="009245D4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591D91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BD04466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FDCFFA8" w14:textId="77777777" w:rsidR="009812EE" w:rsidRPr="00A21288" w:rsidRDefault="009812EE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0405D8" w14:paraId="559CACF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844FFB" w14:textId="77777777" w:rsidR="000405D8" w:rsidRDefault="000405D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2FD0FF2" w14:textId="776D648B" w:rsidR="000405D8" w:rsidRDefault="00EC0D7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 </w:t>
            </w:r>
            <w:r w:rsidR="00406DEA">
              <w:rPr>
                <w:sz w:val="22"/>
                <w:szCs w:val="22"/>
              </w:rPr>
              <w:t>382</w:t>
            </w:r>
          </w:p>
        </w:tc>
        <w:tc>
          <w:tcPr>
            <w:tcW w:w="3443" w:type="dxa"/>
          </w:tcPr>
          <w:p w14:paraId="2159A6DC" w14:textId="75CEE0B9" w:rsidR="000405D8" w:rsidRDefault="00406DE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“include”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76307A3" w14:textId="6637A4AF" w:rsidR="000405D8" w:rsidRDefault="00406DE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“including”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8B727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E074330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7A95132" w14:textId="77777777" w:rsidR="000405D8" w:rsidRPr="00A21288" w:rsidRDefault="000405D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A94B24" w14:paraId="7C5984E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5CCD8A7" w14:textId="77777777" w:rsidR="00A94B24" w:rsidRDefault="00A94B2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EA08191" w14:textId="6F88AA73" w:rsidR="00A94B24" w:rsidRDefault="00406DE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401</w:t>
            </w:r>
          </w:p>
        </w:tc>
        <w:tc>
          <w:tcPr>
            <w:tcW w:w="3443" w:type="dxa"/>
          </w:tcPr>
          <w:p w14:paraId="7E977E19" w14:textId="5E6989C3" w:rsidR="00A94B24" w:rsidRDefault="00406DE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“Certificate Profile and Lifecycle Management”</w:t>
            </w:r>
            <w:r w:rsidR="009245D4">
              <w:rPr>
                <w:sz w:val="22"/>
                <w:szCs w:val="22"/>
              </w:rPr>
              <w:t xml:space="preserve"> section heading.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CD90E7" w14:textId="57088296" w:rsidR="00A94B24" w:rsidRDefault="00406DE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“Certificate Profile Requirements” to better align with intro and </w:t>
            </w:r>
            <w:r w:rsidR="009245D4">
              <w:rPr>
                <w:sz w:val="22"/>
                <w:szCs w:val="22"/>
              </w:rPr>
              <w:t>avoid any confusion with</w:t>
            </w:r>
            <w:r>
              <w:rPr>
                <w:sz w:val="22"/>
                <w:szCs w:val="22"/>
              </w:rPr>
              <w:t xml:space="preserve"> 6.1.4 title that has “Life-Cycle” in it.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D3C9F4C" w14:textId="77777777" w:rsidR="00A94B24" w:rsidRPr="006D16E6" w:rsidRDefault="00A94B24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9B7F4FD" w14:textId="77777777" w:rsidR="00A94B24" w:rsidRPr="006D16E6" w:rsidRDefault="00A94B2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13E413C" w14:textId="77777777" w:rsidR="00A94B24" w:rsidRPr="00A21288" w:rsidRDefault="00A94B2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1707B4" w14:paraId="46183721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A03CDFE" w14:textId="77777777" w:rsidR="001707B4" w:rsidRDefault="001707B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F028BCC" w14:textId="0086A25D" w:rsidR="001707B4" w:rsidRDefault="007159B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463</w:t>
            </w:r>
          </w:p>
        </w:tc>
        <w:tc>
          <w:tcPr>
            <w:tcW w:w="3443" w:type="dxa"/>
          </w:tcPr>
          <w:p w14:paraId="1FB9FB23" w14:textId="31A405D5" w:rsidR="001707B4" w:rsidRDefault="007159B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bullet since a business and legal matter (CPS section 9).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CE42217" w14:textId="7C86ABB3" w:rsidR="001707B4" w:rsidRDefault="0063710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Covered in above bullet (Line 462)</w:t>
            </w:r>
            <w:r w:rsidR="009245D4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6FCA4EC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54FC008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F86EBFE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03BE8" w14:paraId="31F5F9C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C510FAD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CD32DEC" w14:textId="321BA1AE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469-470</w:t>
            </w:r>
          </w:p>
        </w:tc>
        <w:tc>
          <w:tcPr>
            <w:tcW w:w="3443" w:type="dxa"/>
          </w:tcPr>
          <w:p w14:paraId="7C959AE9" w14:textId="5575F1DB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“on the public website”</w:t>
            </w:r>
            <w:r w:rsidR="009245D4"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264D74E" w14:textId="39D38696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need to prescribe “how”.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1A48C26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0A16C36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BC14EBA" w14:textId="77777777" w:rsidR="00503BE8" w:rsidRPr="00A21288" w:rsidRDefault="00503BE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03BE8" w14:paraId="79EE4B3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21A2A40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0D377BF" w14:textId="530447DB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559</w:t>
            </w:r>
          </w:p>
        </w:tc>
        <w:tc>
          <w:tcPr>
            <w:tcW w:w="3443" w:type="dxa"/>
          </w:tcPr>
          <w:p w14:paraId="0BA5B176" w14:textId="08795B45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moving “(one day is recommended)” above with discussion of “exp” field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95A287" w14:textId="72CA2A3B" w:rsidR="00503BE8" w:rsidRDefault="00D2301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483-485: “…</w:t>
            </w:r>
            <w:proofErr w:type="spellStart"/>
            <w:r>
              <w:rPr>
                <w:sz w:val="22"/>
                <w:szCs w:val="22"/>
              </w:rPr>
              <w:t>NumericDate</w:t>
            </w:r>
            <w:proofErr w:type="spellEnd"/>
            <w:r>
              <w:rPr>
                <w:sz w:val="22"/>
                <w:szCs w:val="22"/>
              </w:rPr>
              <w:t xml:space="preserve"> value, which is recommended to be updated daily”</w:t>
            </w:r>
            <w:r w:rsidR="009245D4">
              <w:rPr>
                <w:sz w:val="22"/>
                <w:szCs w:val="22"/>
              </w:rPr>
              <w:t xml:space="preserve"> or something similar.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90AC0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D6E75BE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1A7B597" w14:textId="77777777" w:rsidR="00503BE8" w:rsidRPr="00A21288" w:rsidRDefault="00503BE8" w:rsidP="007454E4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5FE9" w14:textId="77777777" w:rsidR="00014DDC" w:rsidRDefault="00014DDC" w:rsidP="008424A0">
      <w:pPr>
        <w:spacing w:before="0" w:after="0"/>
      </w:pPr>
      <w:r>
        <w:separator/>
      </w:r>
    </w:p>
  </w:endnote>
  <w:endnote w:type="continuationSeparator" w:id="0">
    <w:p w14:paraId="532BD27F" w14:textId="77777777" w:rsidR="00014DDC" w:rsidRDefault="00014DDC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A58C" w14:textId="77777777" w:rsidR="00014DDC" w:rsidRDefault="00014DDC" w:rsidP="008424A0">
      <w:pPr>
        <w:spacing w:before="0" w:after="0"/>
      </w:pPr>
      <w:r>
        <w:separator/>
      </w:r>
    </w:p>
  </w:footnote>
  <w:footnote w:type="continuationSeparator" w:id="0">
    <w:p w14:paraId="66F46B9C" w14:textId="77777777" w:rsidR="00014DDC" w:rsidRDefault="00014DDC" w:rsidP="008424A0">
      <w:pPr>
        <w:spacing w:before="0" w:after="0"/>
      </w:pPr>
      <w:r>
        <w:continuationSeparator/>
      </w:r>
    </w:p>
  </w:footnote>
  <w:footnote w:id="1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4DDC"/>
    <w:rsid w:val="00017E37"/>
    <w:rsid w:val="000405D8"/>
    <w:rsid w:val="0006311F"/>
    <w:rsid w:val="00063727"/>
    <w:rsid w:val="000A3295"/>
    <w:rsid w:val="000A592A"/>
    <w:rsid w:val="000B5D41"/>
    <w:rsid w:val="000C0005"/>
    <w:rsid w:val="000C7BD8"/>
    <w:rsid w:val="000F16F5"/>
    <w:rsid w:val="00107D79"/>
    <w:rsid w:val="00121817"/>
    <w:rsid w:val="00126BBE"/>
    <w:rsid w:val="00131A52"/>
    <w:rsid w:val="001574E2"/>
    <w:rsid w:val="0016227F"/>
    <w:rsid w:val="001707B4"/>
    <w:rsid w:val="00175E31"/>
    <w:rsid w:val="001912BD"/>
    <w:rsid w:val="001916C5"/>
    <w:rsid w:val="00196015"/>
    <w:rsid w:val="001A7B35"/>
    <w:rsid w:val="001D538C"/>
    <w:rsid w:val="001D542F"/>
    <w:rsid w:val="001D6704"/>
    <w:rsid w:val="001F12DE"/>
    <w:rsid w:val="001F1F31"/>
    <w:rsid w:val="001F76FE"/>
    <w:rsid w:val="00215DA9"/>
    <w:rsid w:val="00233FC6"/>
    <w:rsid w:val="00242E46"/>
    <w:rsid w:val="0024316D"/>
    <w:rsid w:val="002435EA"/>
    <w:rsid w:val="0026243E"/>
    <w:rsid w:val="00267A8E"/>
    <w:rsid w:val="002700ED"/>
    <w:rsid w:val="00282B10"/>
    <w:rsid w:val="00295941"/>
    <w:rsid w:val="002A2E21"/>
    <w:rsid w:val="002C4E95"/>
    <w:rsid w:val="002F2983"/>
    <w:rsid w:val="002F5E6C"/>
    <w:rsid w:val="003012FC"/>
    <w:rsid w:val="003145DB"/>
    <w:rsid w:val="00333223"/>
    <w:rsid w:val="00345450"/>
    <w:rsid w:val="00351A9C"/>
    <w:rsid w:val="003554B1"/>
    <w:rsid w:val="003619B4"/>
    <w:rsid w:val="003768E8"/>
    <w:rsid w:val="003B4C26"/>
    <w:rsid w:val="003D5FBF"/>
    <w:rsid w:val="003D7141"/>
    <w:rsid w:val="003E19E2"/>
    <w:rsid w:val="003F0352"/>
    <w:rsid w:val="0040536B"/>
    <w:rsid w:val="00405B7B"/>
    <w:rsid w:val="00406DEA"/>
    <w:rsid w:val="00407BB4"/>
    <w:rsid w:val="00411194"/>
    <w:rsid w:val="00430FB6"/>
    <w:rsid w:val="004332EF"/>
    <w:rsid w:val="004363C5"/>
    <w:rsid w:val="00441C51"/>
    <w:rsid w:val="00443476"/>
    <w:rsid w:val="00451E73"/>
    <w:rsid w:val="00487C0A"/>
    <w:rsid w:val="004A4DD5"/>
    <w:rsid w:val="004C339D"/>
    <w:rsid w:val="004C4A29"/>
    <w:rsid w:val="004D5F9C"/>
    <w:rsid w:val="004F7BD2"/>
    <w:rsid w:val="00503BE8"/>
    <w:rsid w:val="00530AF0"/>
    <w:rsid w:val="00536544"/>
    <w:rsid w:val="0054224F"/>
    <w:rsid w:val="00546D36"/>
    <w:rsid w:val="00574E01"/>
    <w:rsid w:val="00584343"/>
    <w:rsid w:val="005C6E4B"/>
    <w:rsid w:val="005D012D"/>
    <w:rsid w:val="005D59B6"/>
    <w:rsid w:val="005F1DD6"/>
    <w:rsid w:val="00604B95"/>
    <w:rsid w:val="006065B1"/>
    <w:rsid w:val="00637107"/>
    <w:rsid w:val="00640BE2"/>
    <w:rsid w:val="00651421"/>
    <w:rsid w:val="006635EB"/>
    <w:rsid w:val="00665D5A"/>
    <w:rsid w:val="00671140"/>
    <w:rsid w:val="006742C6"/>
    <w:rsid w:val="006839FC"/>
    <w:rsid w:val="006878B5"/>
    <w:rsid w:val="006941C8"/>
    <w:rsid w:val="006A5F97"/>
    <w:rsid w:val="006B041F"/>
    <w:rsid w:val="006B29A8"/>
    <w:rsid w:val="006C0680"/>
    <w:rsid w:val="006D16E6"/>
    <w:rsid w:val="006D68E2"/>
    <w:rsid w:val="006E1B67"/>
    <w:rsid w:val="007159B8"/>
    <w:rsid w:val="007378A8"/>
    <w:rsid w:val="007454E4"/>
    <w:rsid w:val="0075294D"/>
    <w:rsid w:val="007727CA"/>
    <w:rsid w:val="007A7E9A"/>
    <w:rsid w:val="007C0ACF"/>
    <w:rsid w:val="007D5FB3"/>
    <w:rsid w:val="007E5F7B"/>
    <w:rsid w:val="007E6DA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C75BB"/>
    <w:rsid w:val="008F3A94"/>
    <w:rsid w:val="00915B59"/>
    <w:rsid w:val="0092023C"/>
    <w:rsid w:val="009245D4"/>
    <w:rsid w:val="0095078B"/>
    <w:rsid w:val="009550E3"/>
    <w:rsid w:val="00971F27"/>
    <w:rsid w:val="009745EC"/>
    <w:rsid w:val="00975237"/>
    <w:rsid w:val="009812EE"/>
    <w:rsid w:val="00992D9F"/>
    <w:rsid w:val="009B1A3A"/>
    <w:rsid w:val="009B7D50"/>
    <w:rsid w:val="009D09AE"/>
    <w:rsid w:val="009D7B09"/>
    <w:rsid w:val="009E4179"/>
    <w:rsid w:val="009E4325"/>
    <w:rsid w:val="009F5D83"/>
    <w:rsid w:val="00A21288"/>
    <w:rsid w:val="00A2578C"/>
    <w:rsid w:val="00A52EE8"/>
    <w:rsid w:val="00A64574"/>
    <w:rsid w:val="00A66009"/>
    <w:rsid w:val="00A67139"/>
    <w:rsid w:val="00A753E7"/>
    <w:rsid w:val="00A90FAD"/>
    <w:rsid w:val="00A94B24"/>
    <w:rsid w:val="00AA7A7A"/>
    <w:rsid w:val="00AB0D97"/>
    <w:rsid w:val="00AC68C1"/>
    <w:rsid w:val="00AD09A0"/>
    <w:rsid w:val="00AE4025"/>
    <w:rsid w:val="00AE6DE0"/>
    <w:rsid w:val="00B03778"/>
    <w:rsid w:val="00B2186B"/>
    <w:rsid w:val="00B62903"/>
    <w:rsid w:val="00B6608F"/>
    <w:rsid w:val="00B70888"/>
    <w:rsid w:val="00BA0635"/>
    <w:rsid w:val="00BF2117"/>
    <w:rsid w:val="00BF5ABF"/>
    <w:rsid w:val="00C03B50"/>
    <w:rsid w:val="00C1321D"/>
    <w:rsid w:val="00C216A4"/>
    <w:rsid w:val="00C2431D"/>
    <w:rsid w:val="00C31FF2"/>
    <w:rsid w:val="00C40945"/>
    <w:rsid w:val="00C44F28"/>
    <w:rsid w:val="00C743FB"/>
    <w:rsid w:val="00C75322"/>
    <w:rsid w:val="00C77C4A"/>
    <w:rsid w:val="00C93895"/>
    <w:rsid w:val="00C95007"/>
    <w:rsid w:val="00C96028"/>
    <w:rsid w:val="00CA2B84"/>
    <w:rsid w:val="00CA4C1B"/>
    <w:rsid w:val="00CB3E31"/>
    <w:rsid w:val="00CC1B34"/>
    <w:rsid w:val="00D23013"/>
    <w:rsid w:val="00D24A07"/>
    <w:rsid w:val="00D27519"/>
    <w:rsid w:val="00D27C08"/>
    <w:rsid w:val="00D35E0A"/>
    <w:rsid w:val="00D418F9"/>
    <w:rsid w:val="00D4468D"/>
    <w:rsid w:val="00D61834"/>
    <w:rsid w:val="00D63D86"/>
    <w:rsid w:val="00D70711"/>
    <w:rsid w:val="00D90586"/>
    <w:rsid w:val="00DB4BFF"/>
    <w:rsid w:val="00DF31D9"/>
    <w:rsid w:val="00DF719B"/>
    <w:rsid w:val="00E1247F"/>
    <w:rsid w:val="00E24357"/>
    <w:rsid w:val="00E37A2A"/>
    <w:rsid w:val="00E47126"/>
    <w:rsid w:val="00E635B9"/>
    <w:rsid w:val="00E65E29"/>
    <w:rsid w:val="00E85632"/>
    <w:rsid w:val="00EB0736"/>
    <w:rsid w:val="00EB0DD1"/>
    <w:rsid w:val="00EC0D78"/>
    <w:rsid w:val="00ED07AB"/>
    <w:rsid w:val="00ED5CCC"/>
    <w:rsid w:val="00ED7B0B"/>
    <w:rsid w:val="00EE3403"/>
    <w:rsid w:val="00F0096A"/>
    <w:rsid w:val="00F0424F"/>
    <w:rsid w:val="00F305A5"/>
    <w:rsid w:val="00F4319E"/>
    <w:rsid w:val="00F4428C"/>
    <w:rsid w:val="00F60402"/>
    <w:rsid w:val="00F82E0A"/>
    <w:rsid w:val="00F9205A"/>
    <w:rsid w:val="00FA7F00"/>
    <w:rsid w:val="00FB48F2"/>
    <w:rsid w:val="00FB53FD"/>
    <w:rsid w:val="00FB79F5"/>
    <w:rsid w:val="00FD34DF"/>
    <w:rsid w:val="00FE1603"/>
    <w:rsid w:val="00FE3D5C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D90CF-D343-4A7B-9F10-F78A08C2A888}"/>
</file>

<file path=customXml/itemProps3.xml><?xml version="1.0" encoding="utf-8"?>
<ds:datastoreItem xmlns:ds="http://schemas.openxmlformats.org/officeDocument/2006/customXml" ds:itemID="{B6B02D1A-320E-47D3-A96D-78EAC6E1191C}"/>
</file>

<file path=customXml/itemProps4.xml><?xml version="1.0" encoding="utf-8"?>
<ds:datastoreItem xmlns:ds="http://schemas.openxmlformats.org/officeDocument/2006/customXml" ds:itemID="{0A071EBA-3A18-4B65-8EAF-2618B3CEA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Politz, Ken</cp:lastModifiedBy>
  <cp:revision>33</cp:revision>
  <cp:lastPrinted>2020-08-14T15:41:00Z</cp:lastPrinted>
  <dcterms:created xsi:type="dcterms:W3CDTF">2020-05-21T12:38:00Z</dcterms:created>
  <dcterms:modified xsi:type="dcterms:W3CDTF">2020-08-19T12:51:00Z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