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14:paraId="2A5EEFC5" w14:textId="77777777" w:rsidTr="006D16E6">
        <w:trPr>
          <w:trHeight w:val="1134"/>
        </w:trPr>
        <w:tc>
          <w:tcPr>
            <w:tcW w:w="14220" w:type="dxa"/>
          </w:tcPr>
          <w:p w14:paraId="528F33A6" w14:textId="77777777"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8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9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14:paraId="5ABD4723" w14:textId="77777777"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</w:t>
            </w:r>
            <w:proofErr w:type="gramStart"/>
            <w:r w:rsidR="00604B95">
              <w:t>document, or</w:t>
            </w:r>
            <w:proofErr w:type="gramEnd"/>
            <w:r w:rsidR="00604B95">
              <w:t xml:space="preserve"> embedding</w:t>
            </w:r>
            <w:r w:rsidR="005D59B6">
              <w:t xml:space="preserve"> as a file/object).</w:t>
            </w:r>
          </w:p>
        </w:tc>
      </w:tr>
    </w:tbl>
    <w:p w14:paraId="17211B2E" w14:textId="77777777"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14:paraId="6C1C798B" w14:textId="68EB6105" w:rsidR="00FB79F5" w:rsidRPr="00FF154F" w:rsidRDefault="00FB79F5" w:rsidP="00FB79F5">
      <w:pPr>
        <w:pStyle w:val="Heading2"/>
        <w:numPr>
          <w:ilvl w:val="0"/>
          <w:numId w:val="0"/>
        </w:numPr>
        <w:ind w:left="576" w:hanging="576"/>
        <w:rPr>
          <w:b w:val="0"/>
          <w:i w:val="0"/>
          <w:sz w:val="20"/>
        </w:rPr>
      </w:pPr>
      <w:r w:rsidRPr="00FF154F">
        <w:t xml:space="preserve">Letter Ballot: </w:t>
      </w:r>
      <w:r w:rsidR="00C31FF2" w:rsidRPr="00FF154F">
        <w:t xml:space="preserve"> </w:t>
      </w:r>
      <w:r w:rsidR="00840479" w:rsidRPr="00FF154F">
        <w:t>PTSC-LB-2</w:t>
      </w:r>
      <w:r w:rsidR="00FF154F" w:rsidRPr="00FF154F">
        <w:t>5</w:t>
      </w:r>
      <w:r w:rsidR="001F76FE">
        <w:t xml:space="preserve">2 </w:t>
      </w:r>
      <w:r w:rsidR="00F305A5" w:rsidRPr="00FF154F">
        <w:t>(</w:t>
      </w:r>
      <w:r w:rsidR="00FF154F" w:rsidRPr="00FF154F">
        <w:rPr>
          <w:szCs w:val="18"/>
        </w:rPr>
        <w:t>PTSC-2020-000</w:t>
      </w:r>
      <w:r w:rsidR="009E4179">
        <w:rPr>
          <w:szCs w:val="18"/>
        </w:rPr>
        <w:t>81</w:t>
      </w:r>
      <w:r w:rsidR="00FF154F" w:rsidRPr="00FF154F">
        <w:rPr>
          <w:szCs w:val="18"/>
        </w:rPr>
        <w:t>R000</w:t>
      </w:r>
      <w:r w:rsidR="00FE1603" w:rsidRPr="00FF154F">
        <w:t>)</w:t>
      </w:r>
      <w:r w:rsidR="00FE1603" w:rsidRPr="00FF154F">
        <w:rPr>
          <w:b w:val="0"/>
          <w:i w:val="0"/>
          <w:sz w:val="20"/>
        </w:rPr>
        <w:t xml:space="preserve"> </w:t>
      </w:r>
    </w:p>
    <w:p w14:paraId="1B6FAE6D" w14:textId="77777777"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597"/>
        <w:gridCol w:w="3443"/>
        <w:gridCol w:w="3780"/>
        <w:gridCol w:w="450"/>
        <w:gridCol w:w="450"/>
        <w:gridCol w:w="4377"/>
      </w:tblGrid>
      <w:tr w:rsidR="00C216A4" w14:paraId="17F46117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268358DA" w14:textId="693B2846" w:rsidR="00C216A4" w:rsidRPr="00C216A4" w:rsidRDefault="00C216A4" w:rsidP="00FE1603">
            <w:pPr>
              <w:rPr>
                <w:b/>
              </w:rPr>
            </w:pPr>
            <w:r>
              <w:rPr>
                <w:b/>
              </w:rPr>
              <w:t xml:space="preserve">Company Name: </w:t>
            </w:r>
            <w:r w:rsidR="00443476">
              <w:rPr>
                <w:b/>
              </w:rPr>
              <w:t xml:space="preserve"> </w:t>
            </w:r>
            <w:r w:rsidR="006C087F">
              <w:rPr>
                <w:b/>
              </w:rPr>
              <w:t>Comcast</w:t>
            </w:r>
          </w:p>
        </w:tc>
      </w:tr>
      <w:tr w:rsidR="00A90FAD" w14:paraId="7BDCD924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153D642F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F3914B8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14:paraId="50D9B263" w14:textId="77777777" w:rsidTr="00D61834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6283357C" w14:textId="77777777"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597" w:type="dxa"/>
            <w:shd w:val="clear" w:color="auto" w:fill="FDE9D9" w:themeFill="accent6" w:themeFillTint="33"/>
          </w:tcPr>
          <w:p w14:paraId="5EA7B62E" w14:textId="77777777"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443" w:type="dxa"/>
            <w:shd w:val="clear" w:color="auto" w:fill="FDE9D9" w:themeFill="accent6" w:themeFillTint="33"/>
          </w:tcPr>
          <w:p w14:paraId="6304DE46" w14:textId="77777777" w:rsidR="00C31FF2" w:rsidRPr="00C31FF2" w:rsidRDefault="00C31FF2" w:rsidP="00267A8E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4CCFFBEB" w14:textId="77777777" w:rsidR="00C31FF2" w:rsidRPr="00C31FF2" w:rsidRDefault="00C31FF2" w:rsidP="00267A8E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62005410" w14:textId="77777777"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41A5E705" w14:textId="77777777"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149C724D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354120" w14:paraId="15CA6454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5F9B68EE" w14:textId="399E4199" w:rsidR="00354120" w:rsidRDefault="003A1E83" w:rsidP="005C76CB">
            <w:pPr>
              <w:ind w:left="360"/>
            </w:pPr>
            <w:r>
              <w:t>1</w:t>
            </w:r>
          </w:p>
        </w:tc>
        <w:tc>
          <w:tcPr>
            <w:tcW w:w="1597" w:type="dxa"/>
          </w:tcPr>
          <w:p w14:paraId="68155836" w14:textId="2A7B557F" w:rsidR="00354120" w:rsidRDefault="00EA03EE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27</w:t>
            </w:r>
            <w:r w:rsidR="00304709">
              <w:rPr>
                <w:sz w:val="22"/>
                <w:szCs w:val="22"/>
              </w:rPr>
              <w:t>5</w:t>
            </w:r>
            <w:r w:rsidR="00720543">
              <w:rPr>
                <w:sz w:val="22"/>
                <w:szCs w:val="22"/>
              </w:rPr>
              <w:t>, clause 6.1</w:t>
            </w:r>
          </w:p>
        </w:tc>
        <w:tc>
          <w:tcPr>
            <w:tcW w:w="3443" w:type="dxa"/>
          </w:tcPr>
          <w:p w14:paraId="25A85651" w14:textId="19B3C48C" w:rsidR="00DD02AD" w:rsidRPr="00DD02AD" w:rsidRDefault="00DD02AD" w:rsidP="00DD02AD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DC08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DD02AD">
              <w:rPr>
                <w:sz w:val="22"/>
                <w:szCs w:val="22"/>
              </w:rPr>
              <w:t>A procedure for registering with the STI-CA.</w:t>
            </w:r>
            <w:r>
              <w:rPr>
                <w:sz w:val="22"/>
                <w:szCs w:val="22"/>
              </w:rPr>
              <w:t>”</w:t>
            </w:r>
          </w:p>
          <w:p w14:paraId="08E267AE" w14:textId="0453F5CC" w:rsidR="00DD02AD" w:rsidRDefault="00DD02AD" w:rsidP="0079118E">
            <w:pPr>
              <w:spacing w:before="0" w:after="0"/>
              <w:jc w:val="left"/>
              <w:rPr>
                <w:sz w:val="22"/>
                <w:szCs w:val="22"/>
              </w:rPr>
            </w:pPr>
          </w:p>
          <w:p w14:paraId="4EC10BA2" w14:textId="1D17798A" w:rsidR="00421DB8" w:rsidRDefault="00BB0810" w:rsidP="0079118E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Readers may find this confusing, since s</w:t>
            </w:r>
            <w:r w:rsidR="004A2B02">
              <w:rPr>
                <w:sz w:val="22"/>
                <w:szCs w:val="22"/>
              </w:rPr>
              <w:t xml:space="preserve">ubsequent text uses </w:t>
            </w:r>
            <w:r w:rsidR="00AE3082">
              <w:rPr>
                <w:sz w:val="22"/>
                <w:szCs w:val="22"/>
              </w:rPr>
              <w:t>terms like “register” to describe establishing an account with the STI-PA</w:t>
            </w:r>
            <w:r w:rsidR="00E94317">
              <w:rPr>
                <w:sz w:val="22"/>
                <w:szCs w:val="22"/>
              </w:rPr>
              <w:t xml:space="preserve">, and </w:t>
            </w:r>
            <w:r w:rsidR="006A719E">
              <w:rPr>
                <w:sz w:val="22"/>
                <w:szCs w:val="22"/>
              </w:rPr>
              <w:t xml:space="preserve">terms like </w:t>
            </w:r>
            <w:r w:rsidR="00E94317">
              <w:rPr>
                <w:sz w:val="22"/>
                <w:szCs w:val="22"/>
              </w:rPr>
              <w:t xml:space="preserve">“account creation” for establishing an account with the STI-CA; </w:t>
            </w:r>
            <w:r w:rsidR="007D4E1F">
              <w:rPr>
                <w:sz w:val="22"/>
                <w:szCs w:val="22"/>
              </w:rPr>
              <w:t xml:space="preserve">e.g., </w:t>
            </w:r>
          </w:p>
          <w:p w14:paraId="618D8903" w14:textId="6C4EC3E7" w:rsidR="007D4E1F" w:rsidRDefault="00A476F2" w:rsidP="0079118E">
            <w:pPr>
              <w:pStyle w:val="ListParagraph"/>
              <w:numPr>
                <w:ilvl w:val="0"/>
                <w:numId w:val="50"/>
              </w:numPr>
              <w:spacing w:before="0" w:after="0"/>
              <w:jc w:val="left"/>
              <w:rPr>
                <w:sz w:val="22"/>
                <w:szCs w:val="22"/>
              </w:rPr>
            </w:pPr>
            <w:r w:rsidRPr="007D4E1F">
              <w:rPr>
                <w:sz w:val="22"/>
                <w:szCs w:val="22"/>
              </w:rPr>
              <w:t xml:space="preserve">Clause </w:t>
            </w:r>
            <w:r w:rsidR="00E146DD" w:rsidRPr="007D4E1F">
              <w:rPr>
                <w:sz w:val="22"/>
                <w:szCs w:val="22"/>
              </w:rPr>
              <w:t xml:space="preserve">6.3.1 </w:t>
            </w:r>
            <w:r w:rsidR="00FD4FEB" w:rsidRPr="007D4E1F">
              <w:rPr>
                <w:sz w:val="22"/>
                <w:szCs w:val="22"/>
              </w:rPr>
              <w:t xml:space="preserve">uses the terms “STI-PA Account Registration” and </w:t>
            </w:r>
            <w:r w:rsidR="00E94317">
              <w:rPr>
                <w:sz w:val="22"/>
                <w:szCs w:val="22"/>
              </w:rPr>
              <w:t>“</w:t>
            </w:r>
            <w:r w:rsidRPr="007D4E1F">
              <w:rPr>
                <w:sz w:val="22"/>
                <w:szCs w:val="22"/>
              </w:rPr>
              <w:t>STI-CA Account Creation</w:t>
            </w:r>
            <w:r w:rsidR="00E94317">
              <w:rPr>
                <w:sz w:val="22"/>
                <w:szCs w:val="22"/>
              </w:rPr>
              <w:t>”</w:t>
            </w:r>
            <w:r w:rsidRPr="007D4E1F">
              <w:rPr>
                <w:sz w:val="22"/>
                <w:szCs w:val="22"/>
              </w:rPr>
              <w:t xml:space="preserve">. </w:t>
            </w:r>
          </w:p>
          <w:p w14:paraId="111B01C7" w14:textId="77777777" w:rsidR="00023537" w:rsidRDefault="001D0BC0" w:rsidP="0079118E">
            <w:pPr>
              <w:pStyle w:val="ListParagraph"/>
              <w:numPr>
                <w:ilvl w:val="0"/>
                <w:numId w:val="50"/>
              </w:numPr>
              <w:spacing w:before="0" w:after="0"/>
              <w:jc w:val="left"/>
              <w:rPr>
                <w:sz w:val="22"/>
                <w:szCs w:val="22"/>
              </w:rPr>
            </w:pPr>
            <w:r w:rsidRPr="007D4E1F">
              <w:rPr>
                <w:sz w:val="22"/>
                <w:szCs w:val="22"/>
              </w:rPr>
              <w:t xml:space="preserve">Clause 6.3.2 </w:t>
            </w:r>
            <w:r w:rsidR="00421DB8" w:rsidRPr="007D4E1F">
              <w:rPr>
                <w:sz w:val="22"/>
                <w:szCs w:val="22"/>
              </w:rPr>
              <w:t>title says “STI-PA Account Registration…”</w:t>
            </w:r>
            <w:r w:rsidR="00A476F2" w:rsidRPr="007D4E1F">
              <w:rPr>
                <w:sz w:val="22"/>
                <w:szCs w:val="22"/>
              </w:rPr>
              <w:t xml:space="preserve"> </w:t>
            </w:r>
          </w:p>
          <w:p w14:paraId="15E60316" w14:textId="74342FCF" w:rsidR="00354120" w:rsidRPr="00023537" w:rsidRDefault="00524412" w:rsidP="0079118E">
            <w:pPr>
              <w:pStyle w:val="ListParagraph"/>
              <w:numPr>
                <w:ilvl w:val="0"/>
                <w:numId w:val="50"/>
              </w:numPr>
              <w:spacing w:before="0" w:after="0"/>
              <w:jc w:val="left"/>
              <w:rPr>
                <w:sz w:val="22"/>
                <w:szCs w:val="22"/>
              </w:rPr>
            </w:pPr>
            <w:r w:rsidRPr="00023537">
              <w:rPr>
                <w:sz w:val="22"/>
                <w:szCs w:val="22"/>
              </w:rPr>
              <w:lastRenderedPageBreak/>
              <w:t>Clause 6.3.3</w:t>
            </w:r>
            <w:r w:rsidR="001A6CA7" w:rsidRPr="00023537">
              <w:rPr>
                <w:sz w:val="22"/>
                <w:szCs w:val="22"/>
              </w:rPr>
              <w:t xml:space="preserve"> title says “STI-CA Account Creation”.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4BA152A" w14:textId="185ECAC7" w:rsidR="000D305D" w:rsidRPr="00DD02AD" w:rsidRDefault="000D305D" w:rsidP="000D305D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“</w:t>
            </w:r>
            <w:r w:rsidR="00DC08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DD02AD">
              <w:rPr>
                <w:sz w:val="22"/>
                <w:szCs w:val="22"/>
              </w:rPr>
              <w:t xml:space="preserve">A procedure for </w:t>
            </w:r>
            <w:r w:rsidR="003903CA">
              <w:rPr>
                <w:sz w:val="22"/>
                <w:szCs w:val="22"/>
              </w:rPr>
              <w:t>creating an account</w:t>
            </w:r>
            <w:r w:rsidRPr="00DD02AD">
              <w:rPr>
                <w:sz w:val="22"/>
                <w:szCs w:val="22"/>
              </w:rPr>
              <w:t xml:space="preserve"> with </w:t>
            </w:r>
            <w:r w:rsidR="00DC0896">
              <w:rPr>
                <w:sz w:val="22"/>
                <w:szCs w:val="22"/>
              </w:rPr>
              <w:t>an</w:t>
            </w:r>
            <w:r w:rsidRPr="00DD02AD">
              <w:rPr>
                <w:sz w:val="22"/>
                <w:szCs w:val="22"/>
              </w:rPr>
              <w:t xml:space="preserve"> STI-</w:t>
            </w:r>
            <w:r w:rsidR="00DC0896">
              <w:rPr>
                <w:sz w:val="22"/>
                <w:szCs w:val="22"/>
              </w:rPr>
              <w:t>C</w:t>
            </w:r>
            <w:r w:rsidRPr="00DD02AD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”</w:t>
            </w:r>
          </w:p>
          <w:p w14:paraId="341112F3" w14:textId="77777777" w:rsidR="00354120" w:rsidRDefault="00354120" w:rsidP="00E2376B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E10B159" w14:textId="77777777" w:rsidR="00354120" w:rsidRPr="006D16E6" w:rsidRDefault="00354120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170583C" w14:textId="77777777" w:rsidR="00354120" w:rsidRPr="006D16E6" w:rsidRDefault="00354120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3DF5B26A" w14:textId="77777777" w:rsidR="00354120" w:rsidRPr="00A21288" w:rsidRDefault="00354120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1707B4" w14:paraId="0E7A9D1A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633BF13D" w14:textId="77777777" w:rsidR="001707B4" w:rsidRDefault="001707B4" w:rsidP="00DD02AD">
            <w:pPr>
              <w:pStyle w:val="ListParagraph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1597" w:type="dxa"/>
          </w:tcPr>
          <w:p w14:paraId="0DA29B7D" w14:textId="4C1667FD" w:rsidR="001707B4" w:rsidRDefault="00FF2949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Line 572, </w:t>
            </w:r>
            <w:r w:rsidR="00EC61D2">
              <w:rPr>
                <w:sz w:val="22"/>
                <w:szCs w:val="22"/>
              </w:rPr>
              <w:t>clause 6.3.4.2</w:t>
            </w:r>
          </w:p>
        </w:tc>
        <w:tc>
          <w:tcPr>
            <w:tcW w:w="3443" w:type="dxa"/>
          </w:tcPr>
          <w:p w14:paraId="084A1EFD" w14:textId="6727D9DD" w:rsidR="0079118E" w:rsidRDefault="0079118E" w:rsidP="0079118E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9118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row in table says…</w:t>
            </w:r>
          </w:p>
          <w:p w14:paraId="525F6C7B" w14:textId="77777777" w:rsidR="001707B4" w:rsidRDefault="0079118E" w:rsidP="0079118E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t>SPC value in the "</w:t>
            </w:r>
            <w:proofErr w:type="spellStart"/>
            <w:r>
              <w:t>tkvalue</w:t>
            </w:r>
            <w:proofErr w:type="spellEnd"/>
            <w:r>
              <w:t>" element of the “</w:t>
            </w:r>
            <w:proofErr w:type="spellStart"/>
            <w:r>
              <w:t>atc</w:t>
            </w:r>
            <w:proofErr w:type="spellEnd"/>
            <w:r>
              <w:t>” claim does not match the SPC value associated with the account</w:t>
            </w:r>
            <w:proofErr w:type="gramStart"/>
            <w:r>
              <w:t xml:space="preserve">. </w:t>
            </w:r>
            <w:r>
              <w:rPr>
                <w:sz w:val="22"/>
                <w:szCs w:val="22"/>
              </w:rPr>
              <w:t>”</w:t>
            </w:r>
            <w:proofErr w:type="gramEnd"/>
          </w:p>
          <w:p w14:paraId="511774D9" w14:textId="77777777" w:rsidR="00EF7BC4" w:rsidRDefault="00EF7BC4" w:rsidP="0079118E">
            <w:pPr>
              <w:spacing w:before="0" w:after="0"/>
              <w:jc w:val="left"/>
              <w:rPr>
                <w:sz w:val="22"/>
                <w:szCs w:val="22"/>
              </w:rPr>
            </w:pPr>
          </w:p>
          <w:p w14:paraId="3233B439" w14:textId="4E20AA92" w:rsidR="00EF7BC4" w:rsidRPr="007D7DCF" w:rsidRDefault="00E2376B" w:rsidP="0079118E">
            <w:pPr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“the SP</w:t>
            </w:r>
            <w:r w:rsidR="00D934D6">
              <w:rPr>
                <w:sz w:val="21"/>
                <w:szCs w:val="21"/>
              </w:rPr>
              <w:t xml:space="preserve">C value” implies </w:t>
            </w:r>
            <w:r w:rsidR="00EF7BC4" w:rsidRPr="00E2376B">
              <w:rPr>
                <w:sz w:val="21"/>
                <w:szCs w:val="21"/>
              </w:rPr>
              <w:t>an account c</w:t>
            </w:r>
            <w:r w:rsidR="007D7DCF">
              <w:rPr>
                <w:sz w:val="21"/>
                <w:szCs w:val="21"/>
              </w:rPr>
              <w:t>an have only a single SPC value, whereas it could have multiple.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495AFD3" w14:textId="6723AE0D" w:rsidR="001707B4" w:rsidRPr="00E2376B" w:rsidRDefault="00B73E85" w:rsidP="00E2376B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“</w:t>
            </w:r>
            <w:r>
              <w:t>SPC value in the "</w:t>
            </w:r>
            <w:proofErr w:type="spellStart"/>
            <w:r>
              <w:t>tkvalue</w:t>
            </w:r>
            <w:proofErr w:type="spellEnd"/>
            <w:r>
              <w:t>" element of the “</w:t>
            </w:r>
            <w:proofErr w:type="spellStart"/>
            <w:r>
              <w:t>atc</w:t>
            </w:r>
            <w:proofErr w:type="spellEnd"/>
            <w:r>
              <w:t xml:space="preserve">” claim does not match </w:t>
            </w:r>
            <w:r w:rsidR="003D75F1">
              <w:t xml:space="preserve">any of </w:t>
            </w:r>
            <w:r>
              <w:t>the SPC value</w:t>
            </w:r>
            <w:r w:rsidR="003D75F1">
              <w:t>s</w:t>
            </w:r>
            <w:r>
              <w:t xml:space="preserve"> associated with the account. 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86DF35" w14:textId="77777777" w:rsidR="001707B4" w:rsidRPr="006D16E6" w:rsidRDefault="001707B4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A2DDEE1" w14:textId="77777777" w:rsidR="001707B4" w:rsidRPr="006D16E6" w:rsidRDefault="001707B4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0CCC2380" w14:textId="77777777" w:rsidR="001707B4" w:rsidRPr="00A21288" w:rsidRDefault="001707B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B36250" w14:paraId="27306EF4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65C49635" w14:textId="77777777" w:rsidR="00B36250" w:rsidRDefault="00B36250" w:rsidP="00DD02AD">
            <w:pPr>
              <w:pStyle w:val="ListParagraph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1597" w:type="dxa"/>
          </w:tcPr>
          <w:p w14:paraId="41C34D97" w14:textId="06D7D26F" w:rsidR="00B36250" w:rsidRDefault="00F370AD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574</w:t>
            </w:r>
            <w:r w:rsidR="006E6260">
              <w:rPr>
                <w:sz w:val="22"/>
                <w:szCs w:val="22"/>
              </w:rPr>
              <w:t>, clause 6.3.4.2</w:t>
            </w:r>
          </w:p>
        </w:tc>
        <w:tc>
          <w:tcPr>
            <w:tcW w:w="3443" w:type="dxa"/>
          </w:tcPr>
          <w:p w14:paraId="7C8467A1" w14:textId="6E6D968A" w:rsidR="00B36250" w:rsidRDefault="00384F88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</w:t>
            </w:r>
            <w:proofErr w:type="spellStart"/>
            <w:r>
              <w:rPr>
                <w:sz w:val="22"/>
                <w:szCs w:val="22"/>
              </w:rPr>
              <w:t>crl</w:t>
            </w:r>
            <w:proofErr w:type="spellEnd"/>
            <w:r>
              <w:rPr>
                <w:sz w:val="22"/>
                <w:szCs w:val="22"/>
              </w:rPr>
              <w:t xml:space="preserve"> URL returned </w:t>
            </w:r>
            <w:r w:rsidR="00E82FFF">
              <w:rPr>
                <w:sz w:val="22"/>
                <w:szCs w:val="22"/>
              </w:rPr>
              <w:t>for 200OK error cases?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E887A27" w14:textId="6CC6AC4A" w:rsidR="00B36250" w:rsidRDefault="00E82FFF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answer is “yes” then no change </w:t>
            </w:r>
            <w:r w:rsidR="003842D7">
              <w:rPr>
                <w:sz w:val="22"/>
                <w:szCs w:val="22"/>
              </w:rPr>
              <w:t>required.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4C3354F" w14:textId="77777777" w:rsidR="00B36250" w:rsidRPr="006D16E6" w:rsidRDefault="00B36250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FE0FD60" w14:textId="77777777" w:rsidR="00B36250" w:rsidRPr="006D16E6" w:rsidRDefault="00B36250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5565385F" w14:textId="77777777" w:rsidR="00B36250" w:rsidRPr="00A21288" w:rsidRDefault="00B36250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9812EE" w14:paraId="4C489A96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7D347531" w14:textId="77777777" w:rsidR="009812EE" w:rsidRDefault="009812EE" w:rsidP="00DD02AD">
            <w:pPr>
              <w:pStyle w:val="ListParagraph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1597" w:type="dxa"/>
          </w:tcPr>
          <w:p w14:paraId="6080E00B" w14:textId="5FC5B1B4" w:rsidR="009812EE" w:rsidRDefault="00C227A2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609</w:t>
            </w:r>
          </w:p>
        </w:tc>
        <w:tc>
          <w:tcPr>
            <w:tcW w:w="3443" w:type="dxa"/>
          </w:tcPr>
          <w:p w14:paraId="4B2000F4" w14:textId="45E086E8" w:rsidR="009812EE" w:rsidRDefault="00902E36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"message" value</w:t>
            </w:r>
            <w:r w:rsidR="00470EDB">
              <w:rPr>
                <w:sz w:val="22"/>
                <w:szCs w:val="22"/>
              </w:rPr>
              <w:t xml:space="preserve"> </w:t>
            </w:r>
            <w:r w:rsidR="002B620D">
              <w:rPr>
                <w:sz w:val="22"/>
                <w:szCs w:val="22"/>
              </w:rPr>
              <w:t xml:space="preserve">in the example </w:t>
            </w:r>
            <w:r w:rsidR="00470EDB">
              <w:rPr>
                <w:sz w:val="22"/>
                <w:szCs w:val="22"/>
              </w:rPr>
              <w:t xml:space="preserve">does not match </w:t>
            </w:r>
            <w:r w:rsidR="002B620D">
              <w:rPr>
                <w:sz w:val="22"/>
                <w:szCs w:val="22"/>
              </w:rPr>
              <w:t xml:space="preserve">the “message” definition in </w:t>
            </w:r>
            <w:r w:rsidR="005F12FC">
              <w:rPr>
                <w:sz w:val="22"/>
                <w:szCs w:val="22"/>
              </w:rPr>
              <w:t>section 6.3.4.2. “…granted”</w:t>
            </w:r>
            <w:r w:rsidR="001B5864">
              <w:rPr>
                <w:sz w:val="22"/>
                <w:szCs w:val="22"/>
              </w:rPr>
              <w:t xml:space="preserve"> vs. “…Granted”. 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5D16D41" w14:textId="351F5990" w:rsidR="009812EE" w:rsidRPr="001432A4" w:rsidRDefault="001432A4" w:rsidP="001432A4">
            <w:pPr>
              <w:pStyle w:val="NormalWeb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rFonts w:ascii="CIDFont+F9" w:hAnsi="CIDFont+F9"/>
                <w:sz w:val="20"/>
                <w:szCs w:val="20"/>
              </w:rPr>
              <w:t>"</w:t>
            </w:r>
            <w:proofErr w:type="spellStart"/>
            <w:r>
              <w:rPr>
                <w:rFonts w:ascii="CIDFont+F9" w:hAnsi="CIDFont+F9"/>
                <w:sz w:val="20"/>
                <w:szCs w:val="20"/>
              </w:rPr>
              <w:t>message":"SPC</w:t>
            </w:r>
            <w:proofErr w:type="spellEnd"/>
            <w:r>
              <w:rPr>
                <w:rFonts w:ascii="CIDFont+F9" w:hAnsi="CIDFont+F9"/>
                <w:sz w:val="20"/>
                <w:szCs w:val="20"/>
              </w:rPr>
              <w:t xml:space="preserve"> Token </w:t>
            </w:r>
            <w:r>
              <w:rPr>
                <w:rFonts w:ascii="CIDFont+F9" w:hAnsi="CIDFont+F9"/>
                <w:sz w:val="20"/>
                <w:szCs w:val="20"/>
              </w:rPr>
              <w:t>G</w:t>
            </w:r>
            <w:r>
              <w:rPr>
                <w:rFonts w:ascii="CIDFont+F9" w:hAnsi="CIDFont+F9"/>
                <w:sz w:val="20"/>
                <w:szCs w:val="20"/>
              </w:rPr>
              <w:t>ranted",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E591D91" w14:textId="77777777" w:rsidR="009812EE" w:rsidRPr="006D16E6" w:rsidRDefault="009812EE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BD04466" w14:textId="77777777" w:rsidR="009812EE" w:rsidRPr="006D16E6" w:rsidRDefault="009812EE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2FDCFFA8" w14:textId="77777777" w:rsidR="009812EE" w:rsidRPr="00A21288" w:rsidRDefault="009812EE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0405D8" w14:paraId="559CACF3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04844FFB" w14:textId="77777777" w:rsidR="000405D8" w:rsidRDefault="000405D8" w:rsidP="00DD02AD">
            <w:pPr>
              <w:pStyle w:val="ListParagraph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1597" w:type="dxa"/>
          </w:tcPr>
          <w:p w14:paraId="62FD0FF2" w14:textId="153D43D3" w:rsidR="000405D8" w:rsidRDefault="005C0A8D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669</w:t>
            </w:r>
            <w:r w:rsidR="00603092">
              <w:rPr>
                <w:sz w:val="22"/>
                <w:szCs w:val="22"/>
              </w:rPr>
              <w:t>, clause 6.3.5.2</w:t>
            </w:r>
          </w:p>
        </w:tc>
        <w:tc>
          <w:tcPr>
            <w:tcW w:w="3443" w:type="dxa"/>
          </w:tcPr>
          <w:p w14:paraId="1C214D78" w14:textId="792CF164" w:rsidR="00EF11A2" w:rsidRPr="00EF11A2" w:rsidRDefault="00EC1B3F" w:rsidP="00EC1B3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F11A2" w:rsidRPr="00EF11A2">
              <w:rPr>
                <w:sz w:val="22"/>
                <w:szCs w:val="22"/>
              </w:rPr>
              <w:t>The request is signed using the private key used in the</w:t>
            </w:r>
            <w:r>
              <w:rPr>
                <w:sz w:val="22"/>
                <w:szCs w:val="22"/>
              </w:rPr>
              <w:t xml:space="preserve"> A</w:t>
            </w:r>
            <w:r w:rsidR="00EF11A2" w:rsidRPr="00EF11A2">
              <w:rPr>
                <w:sz w:val="22"/>
                <w:szCs w:val="22"/>
              </w:rPr>
              <w:t xml:space="preserve">CME </w:t>
            </w:r>
            <w:r w:rsidR="00EF11A2" w:rsidRPr="00EF11A2">
              <w:rPr>
                <w:sz w:val="22"/>
                <w:szCs w:val="22"/>
                <w:highlight w:val="yellow"/>
              </w:rPr>
              <w:t>registration</w:t>
            </w:r>
            <w:r w:rsidR="00EF11A2" w:rsidRPr="00EF11A2">
              <w:rPr>
                <w:sz w:val="22"/>
                <w:szCs w:val="22"/>
              </w:rPr>
              <w:t xml:space="preserve"> with the STI-CA. </w:t>
            </w:r>
            <w:r>
              <w:rPr>
                <w:sz w:val="22"/>
                <w:szCs w:val="22"/>
              </w:rPr>
              <w:t>“</w:t>
            </w:r>
          </w:p>
          <w:p w14:paraId="49F7930B" w14:textId="141A6BF7" w:rsidR="000405D8" w:rsidRDefault="009F71D7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line up with earlier text, replace “registration” with “</w:t>
            </w:r>
            <w:r w:rsidR="00B61E5D">
              <w:rPr>
                <w:sz w:val="22"/>
                <w:szCs w:val="22"/>
              </w:rPr>
              <w:t>account creation”, and ad</w:t>
            </w:r>
            <w:r w:rsidR="00785381">
              <w:rPr>
                <w:sz w:val="22"/>
                <w:szCs w:val="22"/>
              </w:rPr>
              <w:t>d</w:t>
            </w:r>
            <w:r w:rsidR="00B61E5D">
              <w:rPr>
                <w:sz w:val="22"/>
                <w:szCs w:val="22"/>
              </w:rPr>
              <w:t xml:space="preserve"> reference to </w:t>
            </w:r>
            <w:r w:rsidR="00785381">
              <w:rPr>
                <w:sz w:val="22"/>
                <w:szCs w:val="22"/>
              </w:rPr>
              <w:t>appropriate clause.</w:t>
            </w:r>
          </w:p>
          <w:p w14:paraId="2159A6DC" w14:textId="33FD7F17" w:rsidR="00EF11A2" w:rsidRDefault="00F76EE5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Earlier text uses the term “registration” to </w:t>
            </w:r>
            <w:r w:rsidR="002105B9">
              <w:rPr>
                <w:sz w:val="22"/>
                <w:szCs w:val="22"/>
              </w:rPr>
              <w:t>refer the process of establishing an account with the STI-PA.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91983F9" w14:textId="100738DD" w:rsidR="00785381" w:rsidRPr="00EF11A2" w:rsidRDefault="00785381" w:rsidP="007853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EF11A2">
              <w:rPr>
                <w:sz w:val="22"/>
                <w:szCs w:val="22"/>
              </w:rPr>
              <w:t xml:space="preserve">The request is signed using the private key </w:t>
            </w:r>
            <w:r w:rsidR="00E46708">
              <w:rPr>
                <w:sz w:val="22"/>
                <w:szCs w:val="22"/>
              </w:rPr>
              <w:t xml:space="preserve">that was </w:t>
            </w:r>
            <w:r w:rsidR="000818D4">
              <w:rPr>
                <w:sz w:val="22"/>
                <w:szCs w:val="22"/>
              </w:rPr>
              <w:t xml:space="preserve">during the </w:t>
            </w:r>
            <w:r w:rsidR="000D1A5D">
              <w:rPr>
                <w:sz w:val="22"/>
                <w:szCs w:val="22"/>
              </w:rPr>
              <w:t>STI-CA account creation procedure</w:t>
            </w:r>
            <w:r w:rsidR="0047375B">
              <w:rPr>
                <w:sz w:val="22"/>
                <w:szCs w:val="22"/>
              </w:rPr>
              <w:t xml:space="preserve"> (ref</w:t>
            </w:r>
            <w:r w:rsidR="00750BB7">
              <w:rPr>
                <w:sz w:val="22"/>
                <w:szCs w:val="22"/>
              </w:rPr>
              <w:t xml:space="preserve"> clause 6.3.3</w:t>
            </w:r>
            <w:r w:rsidR="0047375B">
              <w:rPr>
                <w:sz w:val="22"/>
                <w:szCs w:val="22"/>
              </w:rPr>
              <w:t>)</w:t>
            </w:r>
            <w:r w:rsidRPr="00EF11A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“</w:t>
            </w:r>
          </w:p>
          <w:p w14:paraId="076307A3" w14:textId="00C0610A" w:rsidR="000405D8" w:rsidRDefault="000405D8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28B727" w14:textId="77777777" w:rsidR="000405D8" w:rsidRPr="006D16E6" w:rsidRDefault="000405D8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E074330" w14:textId="77777777" w:rsidR="000405D8" w:rsidRPr="006D16E6" w:rsidRDefault="000405D8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7A95132" w14:textId="77777777" w:rsidR="000405D8" w:rsidRPr="00A21288" w:rsidRDefault="000405D8" w:rsidP="007454E4">
            <w:pPr>
              <w:rPr>
                <w:color w:val="0000FF"/>
                <w:sz w:val="22"/>
                <w:szCs w:val="22"/>
              </w:rPr>
            </w:pPr>
          </w:p>
        </w:tc>
      </w:tr>
    </w:tbl>
    <w:p w14:paraId="712FA004" w14:textId="77777777" w:rsidR="008424A0" w:rsidRPr="008424A0" w:rsidRDefault="008424A0" w:rsidP="008424A0"/>
    <w:p w14:paraId="4B1A9E15" w14:textId="77777777"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14:paraId="572F635E" w14:textId="77777777"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0"/>
      <w:footerReference w:type="default" r:id="rId11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F10A7" w14:textId="77777777" w:rsidR="00990A10" w:rsidRDefault="00990A10" w:rsidP="008424A0">
      <w:pPr>
        <w:spacing w:before="0" w:after="0"/>
      </w:pPr>
      <w:r>
        <w:separator/>
      </w:r>
    </w:p>
  </w:endnote>
  <w:endnote w:type="continuationSeparator" w:id="0">
    <w:p w14:paraId="025CCBCB" w14:textId="77777777" w:rsidR="00990A10" w:rsidRDefault="00990A10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9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DC0F7" w14:textId="77777777" w:rsidR="006E1B67" w:rsidRDefault="006E1B67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212CF" w14:textId="77777777" w:rsidR="00990A10" w:rsidRDefault="00990A10" w:rsidP="008424A0">
      <w:pPr>
        <w:spacing w:before="0" w:after="0"/>
      </w:pPr>
      <w:r>
        <w:separator/>
      </w:r>
    </w:p>
  </w:footnote>
  <w:footnote w:type="continuationSeparator" w:id="0">
    <w:p w14:paraId="4DD94FE9" w14:textId="77777777" w:rsidR="00990A10" w:rsidRDefault="00990A10" w:rsidP="008424A0">
      <w:pPr>
        <w:spacing w:before="0" w:after="0"/>
      </w:pPr>
      <w:r>
        <w:continuationSeparator/>
      </w:r>
    </w:p>
  </w:footnote>
  <w:footnote w:id="1">
    <w:p w14:paraId="187D98F7" w14:textId="77777777" w:rsidR="006E1B67" w:rsidRDefault="006E1B67">
      <w:pPr>
        <w:pStyle w:val="FootnoteText"/>
      </w:pPr>
      <w:r>
        <w:rPr>
          <w:rStyle w:val="FootnoteReference"/>
        </w:rPr>
        <w:footnoteRef/>
      </w:r>
      <w:r>
        <w:t xml:space="preserve"> Type of change:  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>
        <w:t>) (</w:t>
      </w:r>
      <w:r w:rsidRPr="00B2186B">
        <w:rPr>
          <w:i/>
        </w:rPr>
        <w:t xml:space="preserve">see </w:t>
      </w:r>
      <w:hyperlink r:id="rId1" w:history="1">
        <w:r w:rsidRPr="00B2186B">
          <w:rPr>
            <w:rStyle w:val="Hyperlink"/>
            <w:i/>
          </w:rPr>
          <w:t>ATIS OP</w:t>
        </w:r>
      </w:hyperlink>
      <w:r w:rsidRPr="00B2186B">
        <w:rPr>
          <w:i/>
        </w:rPr>
        <w:t xml:space="preserve"> Section A.6</w:t>
      </w:r>
      <w:r>
        <w:t>) or Non-Substantive (</w:t>
      </w:r>
      <w:r w:rsidRPr="006D16E6">
        <w:rPr>
          <w:b/>
        </w:rPr>
        <w:t>NS</w:t>
      </w:r>
      <w:r>
        <w:t>)</w:t>
      </w:r>
    </w:p>
  </w:footnote>
  <w:footnote w:id="2">
    <w:p w14:paraId="2561FD98" w14:textId="77777777" w:rsidR="006E1B67" w:rsidRDefault="006E1B67">
      <w:pPr>
        <w:pStyle w:val="FootnoteText"/>
      </w:pPr>
      <w:r>
        <w:rPr>
          <w:rStyle w:val="FootnoteReference"/>
        </w:rPr>
        <w:footnoteRef/>
      </w:r>
      <w:r>
        <w:t xml:space="preserve"> Resolution (how was comment considered):  Insert </w:t>
      </w:r>
      <w:r w:rsidRPr="006D16E6">
        <w:rPr>
          <w:b/>
        </w:rPr>
        <w:t>A</w:t>
      </w:r>
      <w:r>
        <w:t xml:space="preserve">, </w:t>
      </w:r>
      <w:r w:rsidRPr="00651421">
        <w:rPr>
          <w:b/>
        </w:rPr>
        <w:t>AM</w:t>
      </w:r>
      <w:r>
        <w:t xml:space="preserve">, </w:t>
      </w:r>
      <w:r w:rsidRPr="006D16E6">
        <w:rPr>
          <w:b/>
        </w:rPr>
        <w:t>N</w:t>
      </w:r>
      <w:r>
        <w:t xml:space="preserve">, </w:t>
      </w:r>
      <w:r w:rsidRPr="002435EA">
        <w:rPr>
          <w:b/>
        </w:rPr>
        <w:t>I</w:t>
      </w:r>
      <w:r>
        <w:t xml:space="preserve">, 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>
        <w:t xml:space="preserve"> (</w:t>
      </w:r>
      <w:r w:rsidRPr="001F1F31">
        <w:rPr>
          <w:b/>
        </w:rPr>
        <w:t>A</w:t>
      </w:r>
      <w:r>
        <w:t>)</w:t>
      </w:r>
      <w:r w:rsidRPr="00DF31D9">
        <w:t xml:space="preserve">, </w:t>
      </w:r>
      <w:r>
        <w:t>Accepted as Modified (</w:t>
      </w:r>
      <w:r w:rsidRPr="00651421">
        <w:rPr>
          <w:b/>
        </w:rPr>
        <w:t>AM</w:t>
      </w:r>
      <w:r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>
        <w:t>For Information/</w:t>
      </w:r>
      <w:r w:rsidRPr="00DF31D9">
        <w:t>No Action</w:t>
      </w:r>
      <w:r>
        <w:t>/Noted</w:t>
      </w:r>
      <w:r w:rsidRPr="00DF31D9">
        <w:t xml:space="preserve"> (</w:t>
      </w:r>
      <w:r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9A54" w14:textId="77777777" w:rsidR="006E1B67" w:rsidRPr="006D16E6" w:rsidRDefault="006E1B67" w:rsidP="006D16E6">
    <w:pPr>
      <w:pStyle w:val="TitleHeading"/>
      <w:rPr>
        <w:sz w:val="10"/>
      </w:rPr>
    </w:pPr>
    <w:r>
      <w:t>ATIS Letter Ballot Comment Submittal Form and Consideration Report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BD1850"/>
    <w:multiLevelType w:val="hybridMultilevel"/>
    <w:tmpl w:val="F6B4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593B68"/>
    <w:multiLevelType w:val="multilevel"/>
    <w:tmpl w:val="779C373E"/>
    <w:lvl w:ilvl="0">
      <w:start w:val="6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F4130"/>
    <w:multiLevelType w:val="hybridMultilevel"/>
    <w:tmpl w:val="38D83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7584A"/>
    <w:multiLevelType w:val="hybridMultilevel"/>
    <w:tmpl w:val="5274BE2E"/>
    <w:lvl w:ilvl="0" w:tplc="3240235E">
      <w:start w:val="1"/>
      <w:numFmt w:val="decimal"/>
      <w:lvlText w:val="%1)"/>
      <w:lvlJc w:val="left"/>
      <w:pPr>
        <w:ind w:left="4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30"/>
  </w:num>
  <w:num w:numId="3">
    <w:abstractNumId w:val="8"/>
  </w:num>
  <w:num w:numId="4">
    <w:abstractNumId w:val="8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7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2"/>
  </w:num>
  <w:num w:numId="34">
    <w:abstractNumId w:val="26"/>
  </w:num>
  <w:num w:numId="35">
    <w:abstractNumId w:val="19"/>
  </w:num>
  <w:num w:numId="36">
    <w:abstractNumId w:val="23"/>
  </w:num>
  <w:num w:numId="37">
    <w:abstractNumId w:val="10"/>
  </w:num>
  <w:num w:numId="38">
    <w:abstractNumId w:val="21"/>
  </w:num>
  <w:num w:numId="39">
    <w:abstractNumId w:val="11"/>
  </w:num>
  <w:num w:numId="40">
    <w:abstractNumId w:val="17"/>
  </w:num>
  <w:num w:numId="41">
    <w:abstractNumId w:val="18"/>
  </w:num>
  <w:num w:numId="42">
    <w:abstractNumId w:val="14"/>
  </w:num>
  <w:num w:numId="43">
    <w:abstractNumId w:val="25"/>
  </w:num>
  <w:num w:numId="44">
    <w:abstractNumId w:val="13"/>
  </w:num>
  <w:num w:numId="45">
    <w:abstractNumId w:val="28"/>
  </w:num>
  <w:num w:numId="46">
    <w:abstractNumId w:val="16"/>
  </w:num>
  <w:num w:numId="47">
    <w:abstractNumId w:val="31"/>
  </w:num>
  <w:num w:numId="48">
    <w:abstractNumId w:val="24"/>
  </w:num>
  <w:num w:numId="49">
    <w:abstractNumId w:val="2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F5"/>
    <w:rsid w:val="00017E37"/>
    <w:rsid w:val="00023537"/>
    <w:rsid w:val="000405D8"/>
    <w:rsid w:val="00041796"/>
    <w:rsid w:val="0006311F"/>
    <w:rsid w:val="00063727"/>
    <w:rsid w:val="00070EB9"/>
    <w:rsid w:val="000818D4"/>
    <w:rsid w:val="0008466D"/>
    <w:rsid w:val="000A3295"/>
    <w:rsid w:val="000A592A"/>
    <w:rsid w:val="000B5D41"/>
    <w:rsid w:val="000C0005"/>
    <w:rsid w:val="000C7BD8"/>
    <w:rsid w:val="000D1A5D"/>
    <w:rsid w:val="000D305D"/>
    <w:rsid w:val="000F16F5"/>
    <w:rsid w:val="00107D79"/>
    <w:rsid w:val="00114C77"/>
    <w:rsid w:val="00126BBE"/>
    <w:rsid w:val="00131A52"/>
    <w:rsid w:val="001432A4"/>
    <w:rsid w:val="001574E2"/>
    <w:rsid w:val="0016227F"/>
    <w:rsid w:val="001707B4"/>
    <w:rsid w:val="00175E31"/>
    <w:rsid w:val="001912BD"/>
    <w:rsid w:val="001916C5"/>
    <w:rsid w:val="00196015"/>
    <w:rsid w:val="001A52FF"/>
    <w:rsid w:val="001A6CA7"/>
    <w:rsid w:val="001A7B35"/>
    <w:rsid w:val="001B5864"/>
    <w:rsid w:val="001C1765"/>
    <w:rsid w:val="001D0BC0"/>
    <w:rsid w:val="001D538C"/>
    <w:rsid w:val="001D542F"/>
    <w:rsid w:val="001D6704"/>
    <w:rsid w:val="001F12DE"/>
    <w:rsid w:val="001F1F31"/>
    <w:rsid w:val="001F76FE"/>
    <w:rsid w:val="001F7FB8"/>
    <w:rsid w:val="002105B9"/>
    <w:rsid w:val="00215DA9"/>
    <w:rsid w:val="00233FC6"/>
    <w:rsid w:val="00242E46"/>
    <w:rsid w:val="0024316D"/>
    <w:rsid w:val="002435EA"/>
    <w:rsid w:val="00244222"/>
    <w:rsid w:val="0026243E"/>
    <w:rsid w:val="00267A8E"/>
    <w:rsid w:val="002700ED"/>
    <w:rsid w:val="00282B10"/>
    <w:rsid w:val="00295941"/>
    <w:rsid w:val="002A2E21"/>
    <w:rsid w:val="002B620D"/>
    <w:rsid w:val="002C4E95"/>
    <w:rsid w:val="002E6070"/>
    <w:rsid w:val="002F2983"/>
    <w:rsid w:val="002F5E6C"/>
    <w:rsid w:val="003012FC"/>
    <w:rsid w:val="003042D4"/>
    <w:rsid w:val="00304709"/>
    <w:rsid w:val="003145DB"/>
    <w:rsid w:val="00345450"/>
    <w:rsid w:val="00351A9C"/>
    <w:rsid w:val="00354120"/>
    <w:rsid w:val="003554B1"/>
    <w:rsid w:val="003619B4"/>
    <w:rsid w:val="003768E8"/>
    <w:rsid w:val="003842D7"/>
    <w:rsid w:val="00384F88"/>
    <w:rsid w:val="003903CA"/>
    <w:rsid w:val="003A1E83"/>
    <w:rsid w:val="003B4C26"/>
    <w:rsid w:val="003D5FBF"/>
    <w:rsid w:val="003D7141"/>
    <w:rsid w:val="003D75F1"/>
    <w:rsid w:val="003E19E2"/>
    <w:rsid w:val="003F0352"/>
    <w:rsid w:val="0040536B"/>
    <w:rsid w:val="00405B7B"/>
    <w:rsid w:val="00407BB4"/>
    <w:rsid w:val="00411194"/>
    <w:rsid w:val="00421DB8"/>
    <w:rsid w:val="00430FB6"/>
    <w:rsid w:val="004332EF"/>
    <w:rsid w:val="004363C5"/>
    <w:rsid w:val="00441C51"/>
    <w:rsid w:val="00443476"/>
    <w:rsid w:val="00451E73"/>
    <w:rsid w:val="00470EDB"/>
    <w:rsid w:val="0047375B"/>
    <w:rsid w:val="00477D39"/>
    <w:rsid w:val="00487C0A"/>
    <w:rsid w:val="004A2B02"/>
    <w:rsid w:val="004A4DD5"/>
    <w:rsid w:val="004C339D"/>
    <w:rsid w:val="004C4A29"/>
    <w:rsid w:val="004D5F9C"/>
    <w:rsid w:val="004F7BD2"/>
    <w:rsid w:val="00503BE8"/>
    <w:rsid w:val="00524412"/>
    <w:rsid w:val="00530AF0"/>
    <w:rsid w:val="005311E8"/>
    <w:rsid w:val="00536544"/>
    <w:rsid w:val="0054224F"/>
    <w:rsid w:val="00546D36"/>
    <w:rsid w:val="00574E01"/>
    <w:rsid w:val="00584343"/>
    <w:rsid w:val="005B3117"/>
    <w:rsid w:val="005C0A8D"/>
    <w:rsid w:val="005C6E4B"/>
    <w:rsid w:val="005C76CB"/>
    <w:rsid w:val="005D012D"/>
    <w:rsid w:val="005D59B6"/>
    <w:rsid w:val="005F12FC"/>
    <w:rsid w:val="005F1DD6"/>
    <w:rsid w:val="00603092"/>
    <w:rsid w:val="00604B95"/>
    <w:rsid w:val="006065B1"/>
    <w:rsid w:val="006319E7"/>
    <w:rsid w:val="00640BE2"/>
    <w:rsid w:val="00651421"/>
    <w:rsid w:val="006635EB"/>
    <w:rsid w:val="00665D5A"/>
    <w:rsid w:val="00671140"/>
    <w:rsid w:val="006742C6"/>
    <w:rsid w:val="006839FC"/>
    <w:rsid w:val="006878B5"/>
    <w:rsid w:val="00691131"/>
    <w:rsid w:val="006941C8"/>
    <w:rsid w:val="006A5F97"/>
    <w:rsid w:val="006A719E"/>
    <w:rsid w:val="006B041F"/>
    <w:rsid w:val="006B29A8"/>
    <w:rsid w:val="006C0680"/>
    <w:rsid w:val="006C087F"/>
    <w:rsid w:val="006D16E6"/>
    <w:rsid w:val="006D68E2"/>
    <w:rsid w:val="006E1B67"/>
    <w:rsid w:val="006E6260"/>
    <w:rsid w:val="00720543"/>
    <w:rsid w:val="00724FAD"/>
    <w:rsid w:val="007378A8"/>
    <w:rsid w:val="007454E4"/>
    <w:rsid w:val="00750BB7"/>
    <w:rsid w:val="0075294D"/>
    <w:rsid w:val="007727CA"/>
    <w:rsid w:val="00785381"/>
    <w:rsid w:val="0079118E"/>
    <w:rsid w:val="007A7E9A"/>
    <w:rsid w:val="007C0ACF"/>
    <w:rsid w:val="007D4E1F"/>
    <w:rsid w:val="007D5FB3"/>
    <w:rsid w:val="007D7DCF"/>
    <w:rsid w:val="007E5F7B"/>
    <w:rsid w:val="007E6DAC"/>
    <w:rsid w:val="007F1795"/>
    <w:rsid w:val="008217AB"/>
    <w:rsid w:val="008267F6"/>
    <w:rsid w:val="00831B22"/>
    <w:rsid w:val="00840479"/>
    <w:rsid w:val="00841C41"/>
    <w:rsid w:val="008424A0"/>
    <w:rsid w:val="00854BB5"/>
    <w:rsid w:val="00857DF1"/>
    <w:rsid w:val="00873DB1"/>
    <w:rsid w:val="00876334"/>
    <w:rsid w:val="008C75BB"/>
    <w:rsid w:val="008F3A94"/>
    <w:rsid w:val="00902E36"/>
    <w:rsid w:val="00903DCA"/>
    <w:rsid w:val="00911949"/>
    <w:rsid w:val="00915B59"/>
    <w:rsid w:val="0092023C"/>
    <w:rsid w:val="0093484B"/>
    <w:rsid w:val="0095078B"/>
    <w:rsid w:val="009550E3"/>
    <w:rsid w:val="00971F27"/>
    <w:rsid w:val="009745EC"/>
    <w:rsid w:val="00975237"/>
    <w:rsid w:val="009812EE"/>
    <w:rsid w:val="00990A10"/>
    <w:rsid w:val="00992D9F"/>
    <w:rsid w:val="009A18E6"/>
    <w:rsid w:val="009B1A3A"/>
    <w:rsid w:val="009B7D50"/>
    <w:rsid w:val="009D09AE"/>
    <w:rsid w:val="009D7B09"/>
    <w:rsid w:val="009E4179"/>
    <w:rsid w:val="009E4325"/>
    <w:rsid w:val="009F5D83"/>
    <w:rsid w:val="009F71D7"/>
    <w:rsid w:val="00A21288"/>
    <w:rsid w:val="00A2578C"/>
    <w:rsid w:val="00A476F2"/>
    <w:rsid w:val="00A52EE8"/>
    <w:rsid w:val="00A64574"/>
    <w:rsid w:val="00A66009"/>
    <w:rsid w:val="00A753E7"/>
    <w:rsid w:val="00A90FAD"/>
    <w:rsid w:val="00A94B24"/>
    <w:rsid w:val="00AA7A7A"/>
    <w:rsid w:val="00AB004D"/>
    <w:rsid w:val="00AB0D97"/>
    <w:rsid w:val="00AC68C1"/>
    <w:rsid w:val="00AD0717"/>
    <w:rsid w:val="00AD09A0"/>
    <w:rsid w:val="00AE3082"/>
    <w:rsid w:val="00AE4025"/>
    <w:rsid w:val="00AE6DE0"/>
    <w:rsid w:val="00B03778"/>
    <w:rsid w:val="00B20A5C"/>
    <w:rsid w:val="00B2186B"/>
    <w:rsid w:val="00B36250"/>
    <w:rsid w:val="00B61E5D"/>
    <w:rsid w:val="00B62903"/>
    <w:rsid w:val="00B6608F"/>
    <w:rsid w:val="00B70888"/>
    <w:rsid w:val="00B73E85"/>
    <w:rsid w:val="00BA0635"/>
    <w:rsid w:val="00BB0810"/>
    <w:rsid w:val="00BC7764"/>
    <w:rsid w:val="00BF2117"/>
    <w:rsid w:val="00BF5ABF"/>
    <w:rsid w:val="00C03B50"/>
    <w:rsid w:val="00C1321D"/>
    <w:rsid w:val="00C168D0"/>
    <w:rsid w:val="00C216A4"/>
    <w:rsid w:val="00C227A2"/>
    <w:rsid w:val="00C2431D"/>
    <w:rsid w:val="00C31FF2"/>
    <w:rsid w:val="00C40945"/>
    <w:rsid w:val="00C44F28"/>
    <w:rsid w:val="00C75322"/>
    <w:rsid w:val="00C77C4A"/>
    <w:rsid w:val="00C93895"/>
    <w:rsid w:val="00C95007"/>
    <w:rsid w:val="00C96028"/>
    <w:rsid w:val="00CA2B84"/>
    <w:rsid w:val="00CA4C1B"/>
    <w:rsid w:val="00CB3E31"/>
    <w:rsid w:val="00CC1B34"/>
    <w:rsid w:val="00D24A07"/>
    <w:rsid w:val="00D27519"/>
    <w:rsid w:val="00D27C08"/>
    <w:rsid w:val="00D35E0A"/>
    <w:rsid w:val="00D418F9"/>
    <w:rsid w:val="00D4468D"/>
    <w:rsid w:val="00D611D1"/>
    <w:rsid w:val="00D61834"/>
    <w:rsid w:val="00D63D86"/>
    <w:rsid w:val="00D6406D"/>
    <w:rsid w:val="00D70711"/>
    <w:rsid w:val="00D73630"/>
    <w:rsid w:val="00D90586"/>
    <w:rsid w:val="00D934D6"/>
    <w:rsid w:val="00DA402D"/>
    <w:rsid w:val="00DB4BFF"/>
    <w:rsid w:val="00DC0896"/>
    <w:rsid w:val="00DC4FDB"/>
    <w:rsid w:val="00DD02AD"/>
    <w:rsid w:val="00DF2DCA"/>
    <w:rsid w:val="00DF31D9"/>
    <w:rsid w:val="00DF719B"/>
    <w:rsid w:val="00E146DD"/>
    <w:rsid w:val="00E2376B"/>
    <w:rsid w:val="00E24357"/>
    <w:rsid w:val="00E37A2A"/>
    <w:rsid w:val="00E46708"/>
    <w:rsid w:val="00E47126"/>
    <w:rsid w:val="00E635B9"/>
    <w:rsid w:val="00E65E29"/>
    <w:rsid w:val="00E67796"/>
    <w:rsid w:val="00E82FFF"/>
    <w:rsid w:val="00E85632"/>
    <w:rsid w:val="00E94317"/>
    <w:rsid w:val="00EA03EE"/>
    <w:rsid w:val="00EB0736"/>
    <w:rsid w:val="00EB0DD1"/>
    <w:rsid w:val="00EC1B3F"/>
    <w:rsid w:val="00EC61D2"/>
    <w:rsid w:val="00ED07AB"/>
    <w:rsid w:val="00ED5CCC"/>
    <w:rsid w:val="00ED7B0B"/>
    <w:rsid w:val="00EE3403"/>
    <w:rsid w:val="00EF11A2"/>
    <w:rsid w:val="00EF7BC4"/>
    <w:rsid w:val="00F0424F"/>
    <w:rsid w:val="00F305A5"/>
    <w:rsid w:val="00F370AD"/>
    <w:rsid w:val="00F4319E"/>
    <w:rsid w:val="00F4428C"/>
    <w:rsid w:val="00F60402"/>
    <w:rsid w:val="00F76EE5"/>
    <w:rsid w:val="00F82E0A"/>
    <w:rsid w:val="00F9205A"/>
    <w:rsid w:val="00FA3532"/>
    <w:rsid w:val="00FA7F00"/>
    <w:rsid w:val="00FB48F2"/>
    <w:rsid w:val="00FB53FD"/>
    <w:rsid w:val="00FB79F5"/>
    <w:rsid w:val="00FD34DF"/>
    <w:rsid w:val="00FD4FEB"/>
    <w:rsid w:val="00FE1603"/>
    <w:rsid w:val="00FE3D5C"/>
    <w:rsid w:val="00FF154F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37691"/>
  <w15:docId w15:val="{B74CC2EA-0E01-4FF4-B8D9-FB0F0BD9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s.org/01_resources/docs/LB/ATIS_LB_CCRPres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is.org/01_aws/faqs.as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F3FC-D632-4C9B-BD24-7B2FD011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HANCOCK, DAVID (Contractor)</cp:lastModifiedBy>
  <cp:revision>95</cp:revision>
  <cp:lastPrinted>2020-08-14T10:36:00Z</cp:lastPrinted>
  <dcterms:created xsi:type="dcterms:W3CDTF">2020-08-14T15:29:00Z</dcterms:created>
  <dcterms:modified xsi:type="dcterms:W3CDTF">2020-08-15T00:27:00Z</dcterms:modified>
</cp:coreProperties>
</file>