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0BAA69FA" w14:textId="77777777" w:rsidTr="006D16E6">
        <w:trPr>
          <w:trHeight w:val="1134"/>
        </w:trPr>
        <w:tc>
          <w:tcPr>
            <w:tcW w:w="14220" w:type="dxa"/>
          </w:tcPr>
          <w:p w14:paraId="72AAE906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11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12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21BA85C4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document, or embedding</w:t>
            </w:r>
            <w:r w:rsidR="005D59B6">
              <w:t xml:space="preserve"> as a file/object).</w:t>
            </w:r>
          </w:p>
        </w:tc>
      </w:tr>
    </w:tbl>
    <w:p w14:paraId="23B05105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3E21054F" w14:textId="34B9B4A8"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 xml:space="preserve">Letter Ballot: </w:t>
      </w:r>
      <w:r w:rsidR="00C31FF2">
        <w:t xml:space="preserve"> </w:t>
      </w:r>
      <w:r w:rsidR="00443476" w:rsidRPr="006D16E6">
        <w:rPr>
          <w:highlight w:val="yellow"/>
        </w:rPr>
        <w:t>[</w:t>
      </w:r>
      <w:r w:rsidR="008D644D">
        <w:rPr>
          <w:highlight w:val="yellow"/>
        </w:rPr>
        <w:t>PTSC-LB-251</w:t>
      </w:r>
      <w:r w:rsidR="00443476" w:rsidRPr="006D16E6">
        <w:rPr>
          <w:highlight w:val="yellow"/>
        </w:rPr>
        <w:t>]</w:t>
      </w:r>
    </w:p>
    <w:p w14:paraId="13D56F09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14:paraId="7B1FF93A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7E115CBF" w14:textId="77777777" w:rsidR="00C216A4" w:rsidRPr="00C216A4" w:rsidRDefault="00C216A4" w:rsidP="00F152AD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F152AD">
              <w:rPr>
                <w:b/>
              </w:rPr>
              <w:t>Perspecta Labs</w:t>
            </w:r>
          </w:p>
        </w:tc>
      </w:tr>
      <w:tr w:rsidR="00A90FAD" w14:paraId="1CD75F87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4A9315D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9D78A09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4EEF0F26" w14:textId="77777777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0D7872DF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0DB8AA9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61635154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3A33FED9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77C4A3EB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7673B0EE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6C45DAFD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7C0ACF" w14:paraId="3A90F97C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44250CBB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5C66394C" w14:textId="77777777" w:rsidR="00C31FF2" w:rsidRPr="006D16E6" w:rsidRDefault="00F152AD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0" w:type="dxa"/>
          </w:tcPr>
          <w:p w14:paraId="58B110DE" w14:textId="77777777" w:rsidR="00C31FF2" w:rsidRPr="006D16E6" w:rsidRDefault="00F152AD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“add support draft” </w:t>
            </w:r>
            <w:r w:rsidRPr="00F152A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“add support for draft”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BE102F2" w14:textId="77777777" w:rsidR="00C31FF2" w:rsidRPr="006D16E6" w:rsidRDefault="00F152AD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 fix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23ABFC7" w14:textId="1BD9D459" w:rsidR="00C31FF2" w:rsidRPr="006D16E6" w:rsidRDefault="00AF1959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42DC022B" w14:textId="0EB41F0B" w:rsidR="00C31FF2" w:rsidRPr="006D16E6" w:rsidRDefault="00AF1959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0D4C1366" w14:textId="59A6E221" w:rsidR="00C31FF2" w:rsidRPr="006D16E6" w:rsidRDefault="00AF1959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Already addressed in Charter comments</w:t>
            </w:r>
          </w:p>
        </w:tc>
      </w:tr>
      <w:tr w:rsidR="007C0ACF" w14:paraId="77BF9FB7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66BFE42F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AA1CC9E" w14:textId="77777777" w:rsidR="00C31FF2" w:rsidRPr="006D16E6" w:rsidRDefault="00BB0A2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60" w:type="dxa"/>
          </w:tcPr>
          <w:p w14:paraId="5C33B8AA" w14:textId="77777777" w:rsidR="00C31FF2" w:rsidRPr="006D16E6" w:rsidRDefault="00BB0A2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PAID acronym be PAI?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74047D8" w14:textId="77777777" w:rsidR="00C31FF2" w:rsidRPr="006D16E6" w:rsidRDefault="00BB0A26" w:rsidP="00BB0A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not seen PAID acronym previously.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8110D80" w14:textId="3712810F" w:rsidR="00C31FF2" w:rsidRPr="006D16E6" w:rsidRDefault="005830D7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113FADC9" w14:textId="5BEDEF18" w:rsidR="00C31FF2" w:rsidRPr="006D16E6" w:rsidRDefault="005830D7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377" w:type="dxa"/>
          </w:tcPr>
          <w:p w14:paraId="52FABA08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729E660B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0D5F3561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188F947F" w14:textId="77777777" w:rsidR="00C31FF2" w:rsidRPr="006D16E6" w:rsidRDefault="00BB0A2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244-245</w:t>
            </w:r>
          </w:p>
        </w:tc>
        <w:tc>
          <w:tcPr>
            <w:tcW w:w="3960" w:type="dxa"/>
          </w:tcPr>
          <w:p w14:paraId="57407FD6" w14:textId="77777777" w:rsidR="00C31FF2" w:rsidRDefault="00BB0A26" w:rsidP="00C31FF2">
            <w:pPr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…then the </w:t>
            </w:r>
            <w:r w:rsidRPr="00BB0A26">
              <w:rPr>
                <w:sz w:val="22"/>
                <w:szCs w:val="22"/>
              </w:rPr>
              <w:t>host SP shall consume the 302 response</w:t>
            </w:r>
            <w:r w:rsidR="001058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…</w:t>
            </w:r>
            <w:r w:rsidRPr="00BB0A26">
              <w:rPr>
                <w:sz w:val="22"/>
                <w:szCs w:val="22"/>
              </w:rPr>
              <w:t>”.</w:t>
            </w:r>
          </w:p>
          <w:p w14:paraId="60751B51" w14:textId="77777777" w:rsidR="00BB0A26" w:rsidRPr="006D16E6" w:rsidRDefault="00BB0A26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7A5E5D2" w14:textId="77777777" w:rsidR="00C31FF2" w:rsidRPr="006D16E6" w:rsidRDefault="001058CE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</w:t>
            </w:r>
            <w:r w:rsidRPr="00BB0A26">
              <w:rPr>
                <w:sz w:val="22"/>
                <w:szCs w:val="22"/>
              </w:rPr>
              <w:t xml:space="preserve"> a reference to the standard that defines what the host SP does with a 302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26E5247" w14:textId="3562D4BA" w:rsidR="00C31FF2" w:rsidRPr="006D16E6" w:rsidRDefault="00817AB0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5D572EFB" w14:textId="2B87C5A7" w:rsidR="00C31FF2" w:rsidRPr="006D16E6" w:rsidRDefault="00817AB0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74B22E12" w14:textId="4CB62E87" w:rsidR="00C31FF2" w:rsidRPr="006D16E6" w:rsidRDefault="00817AB0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 to be provided before default letter ballot</w:t>
            </w:r>
          </w:p>
        </w:tc>
      </w:tr>
      <w:tr w:rsidR="007C0ACF" w14:paraId="2F9CE6DF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41BD976D" w14:textId="77777777" w:rsidR="00C216A4" w:rsidRDefault="00C216A4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21670BF0" w14:textId="77777777" w:rsidR="00C216A4" w:rsidRPr="006D16E6" w:rsidRDefault="001058CE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3960" w:type="dxa"/>
          </w:tcPr>
          <w:p w14:paraId="0941B9C7" w14:textId="77777777" w:rsidR="00C216A4" w:rsidRDefault="001058CE" w:rsidP="00C31FF2">
            <w:pPr>
              <w:rPr>
                <w:sz w:val="22"/>
                <w:szCs w:val="22"/>
              </w:rPr>
            </w:pPr>
            <w:r w:rsidRPr="001058CE">
              <w:rPr>
                <w:sz w:val="22"/>
                <w:szCs w:val="22"/>
              </w:rPr>
              <w:t>“If allowed by local policy, the terminating SP shall not remove the Identity headers”.</w:t>
            </w:r>
          </w:p>
          <w:p w14:paraId="3980B4A0" w14:textId="77777777" w:rsidR="001058CE" w:rsidRPr="006D16E6" w:rsidRDefault="001058CE" w:rsidP="00747721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99E33D8" w14:textId="77777777" w:rsidR="00C216A4" w:rsidRDefault="00747721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Unclear wording: </w:t>
            </w:r>
            <w:r w:rsidRPr="00747721">
              <w:rPr>
                <w:sz w:val="22"/>
                <w:szCs w:val="22"/>
              </w:rPr>
              <w:t>Does this mean that if allowed, it shall not remove, but if not allowed, it shall remove?</w:t>
            </w:r>
          </w:p>
          <w:p w14:paraId="6537B783" w14:textId="77777777" w:rsidR="00747721" w:rsidRDefault="00747721" w:rsidP="00747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Re-word to something like:  “I</w:t>
            </w:r>
            <w:r w:rsidRPr="001058CE">
              <w:rPr>
                <w:sz w:val="22"/>
                <w:szCs w:val="22"/>
              </w:rPr>
              <w:t xml:space="preserve">f identity header removal is prohibited by local policy, the terminating SP </w:t>
            </w:r>
            <w:r w:rsidRPr="001058CE">
              <w:rPr>
                <w:sz w:val="22"/>
                <w:szCs w:val="22"/>
              </w:rPr>
              <w:lastRenderedPageBreak/>
              <w:t>shall not remove</w:t>
            </w:r>
            <w:r>
              <w:rPr>
                <w:sz w:val="22"/>
                <w:szCs w:val="22"/>
              </w:rPr>
              <w:t xml:space="preserve"> the Identify headers.</w:t>
            </w:r>
            <w:r w:rsidRPr="001058CE">
              <w:rPr>
                <w:sz w:val="22"/>
                <w:szCs w:val="22"/>
              </w:rPr>
              <w:t>”</w:t>
            </w:r>
          </w:p>
          <w:p w14:paraId="258818D3" w14:textId="77777777" w:rsidR="00747721" w:rsidRPr="006D16E6" w:rsidRDefault="00747721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12D1045" w14:textId="7E2CA087" w:rsidR="00C216A4" w:rsidRPr="006D16E6" w:rsidRDefault="00292421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NS</w:t>
            </w:r>
          </w:p>
        </w:tc>
        <w:tc>
          <w:tcPr>
            <w:tcW w:w="450" w:type="dxa"/>
          </w:tcPr>
          <w:p w14:paraId="68D61B0E" w14:textId="45205392" w:rsidR="00C216A4" w:rsidRPr="006D16E6" w:rsidRDefault="00292421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4377" w:type="dxa"/>
          </w:tcPr>
          <w:p w14:paraId="78D8C8D1" w14:textId="190A8853" w:rsidR="00C216A4" w:rsidRPr="006D16E6" w:rsidRDefault="00716BE1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Modified to: “If allowed by local policy, the terminating SP shall deliver the Identity headers in the INVITE request sen</w:t>
            </w:r>
            <w:r w:rsidR="006B3D9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to the end-user device.”</w:t>
            </w:r>
            <w:r w:rsidR="006B3D94">
              <w:rPr>
                <w:sz w:val="22"/>
                <w:szCs w:val="22"/>
              </w:rPr>
              <w:t xml:space="preserve"> [lines 266-267]</w:t>
            </w:r>
          </w:p>
        </w:tc>
      </w:tr>
      <w:tr w:rsidR="001058CE" w14:paraId="566EDCBE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3151D70C" w14:textId="77777777" w:rsidR="001058CE" w:rsidRDefault="001058CE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2BB3BFA0" w14:textId="77777777" w:rsidR="001058CE" w:rsidRPr="006D16E6" w:rsidRDefault="001058CE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3960" w:type="dxa"/>
          </w:tcPr>
          <w:p w14:paraId="29CB35EB" w14:textId="77777777" w:rsidR="001058CE" w:rsidRPr="006D16E6" w:rsidRDefault="001058CE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1058CE">
              <w:rPr>
                <w:sz w:val="22"/>
                <w:szCs w:val="22"/>
              </w:rPr>
              <w:t>f the end user is not authorized to retarget using a certain TN, then why would the STI AS no</w:t>
            </w:r>
            <w:r>
              <w:rPr>
                <w:sz w:val="22"/>
                <w:szCs w:val="22"/>
              </w:rPr>
              <w:t>t</w:t>
            </w:r>
            <w:r w:rsidRPr="001058CE">
              <w:rPr>
                <w:sz w:val="22"/>
                <w:szCs w:val="22"/>
              </w:rPr>
              <w:t xml:space="preserve"> just reject the attempt rather than perform SHAKEN authentication?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3E03536" w14:textId="77777777" w:rsidR="001058CE" w:rsidRPr="006D16E6" w:rsidRDefault="001058CE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B664556" w14:textId="43E4FC60" w:rsidR="001058CE" w:rsidRPr="006D16E6" w:rsidRDefault="00C43D4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1D7EE3AA" w14:textId="42B2C485" w:rsidR="001058CE" w:rsidRPr="006D16E6" w:rsidRDefault="00C43D4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377" w:type="dxa"/>
          </w:tcPr>
          <w:p w14:paraId="27F0A822" w14:textId="77777777" w:rsidR="001058CE" w:rsidRPr="006D16E6" w:rsidRDefault="001058CE" w:rsidP="00C31FF2">
            <w:pPr>
              <w:rPr>
                <w:sz w:val="22"/>
                <w:szCs w:val="22"/>
              </w:rPr>
            </w:pPr>
          </w:p>
        </w:tc>
      </w:tr>
    </w:tbl>
    <w:p w14:paraId="76174E4B" w14:textId="77777777" w:rsidR="008424A0" w:rsidRPr="008424A0" w:rsidRDefault="008424A0" w:rsidP="008424A0"/>
    <w:p w14:paraId="77239B50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2C0A46DF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3"/>
      <w:footerReference w:type="default" r:id="rId14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A7217" w14:textId="77777777" w:rsidR="00CC1778" w:rsidRDefault="00CC1778" w:rsidP="008424A0">
      <w:pPr>
        <w:spacing w:before="0" w:after="0"/>
      </w:pPr>
      <w:r>
        <w:separator/>
      </w:r>
    </w:p>
  </w:endnote>
  <w:endnote w:type="continuationSeparator" w:id="0">
    <w:p w14:paraId="7ECE4982" w14:textId="77777777" w:rsidR="00CC1778" w:rsidRDefault="00CC1778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BABD9" w14:textId="77777777"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BA0B" w14:textId="77777777" w:rsidR="00CC1778" w:rsidRDefault="00CC1778" w:rsidP="008424A0">
      <w:pPr>
        <w:spacing w:before="0" w:after="0"/>
      </w:pPr>
      <w:r>
        <w:separator/>
      </w:r>
    </w:p>
  </w:footnote>
  <w:footnote w:type="continuationSeparator" w:id="0">
    <w:p w14:paraId="40FC70BF" w14:textId="77777777" w:rsidR="00CC1778" w:rsidRDefault="00CC1778" w:rsidP="008424A0">
      <w:pPr>
        <w:spacing w:before="0" w:after="0"/>
      </w:pPr>
      <w:r>
        <w:continuationSeparator/>
      </w:r>
    </w:p>
  </w:footnote>
  <w:footnote w:id="1">
    <w:p w14:paraId="08FD88D4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14:paraId="0176E66A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9BA02" w14:textId="77777777"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5"/>
    <w:rsid w:val="0006311F"/>
    <w:rsid w:val="00063727"/>
    <w:rsid w:val="000A3295"/>
    <w:rsid w:val="000F09CC"/>
    <w:rsid w:val="000F16F5"/>
    <w:rsid w:val="001058CE"/>
    <w:rsid w:val="00126BBE"/>
    <w:rsid w:val="001574E2"/>
    <w:rsid w:val="001916C5"/>
    <w:rsid w:val="001A7B35"/>
    <w:rsid w:val="001D542F"/>
    <w:rsid w:val="001F1F31"/>
    <w:rsid w:val="00233FC6"/>
    <w:rsid w:val="00242E46"/>
    <w:rsid w:val="002435EA"/>
    <w:rsid w:val="00282B10"/>
    <w:rsid w:val="00292421"/>
    <w:rsid w:val="002C4E95"/>
    <w:rsid w:val="002F2983"/>
    <w:rsid w:val="00345450"/>
    <w:rsid w:val="003B4C26"/>
    <w:rsid w:val="003D7141"/>
    <w:rsid w:val="003E19E2"/>
    <w:rsid w:val="00430FB6"/>
    <w:rsid w:val="00443476"/>
    <w:rsid w:val="00491AAE"/>
    <w:rsid w:val="004A4DD5"/>
    <w:rsid w:val="004D5F9C"/>
    <w:rsid w:val="004F7BD2"/>
    <w:rsid w:val="00536544"/>
    <w:rsid w:val="00553669"/>
    <w:rsid w:val="005830D7"/>
    <w:rsid w:val="005D59B6"/>
    <w:rsid w:val="00604B95"/>
    <w:rsid w:val="00651421"/>
    <w:rsid w:val="006635EB"/>
    <w:rsid w:val="00671140"/>
    <w:rsid w:val="006941C8"/>
    <w:rsid w:val="006B29A8"/>
    <w:rsid w:val="006B3D94"/>
    <w:rsid w:val="006C0680"/>
    <w:rsid w:val="006D16E6"/>
    <w:rsid w:val="00716BE1"/>
    <w:rsid w:val="00747721"/>
    <w:rsid w:val="0075294D"/>
    <w:rsid w:val="007713AF"/>
    <w:rsid w:val="007C0ACF"/>
    <w:rsid w:val="007D5FB3"/>
    <w:rsid w:val="007F1795"/>
    <w:rsid w:val="00817AB0"/>
    <w:rsid w:val="008217AB"/>
    <w:rsid w:val="00841C41"/>
    <w:rsid w:val="008424A0"/>
    <w:rsid w:val="008C75BB"/>
    <w:rsid w:val="008D111A"/>
    <w:rsid w:val="008D644D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52EE8"/>
    <w:rsid w:val="00A90FAD"/>
    <w:rsid w:val="00AA7A7A"/>
    <w:rsid w:val="00AE4025"/>
    <w:rsid w:val="00AF1959"/>
    <w:rsid w:val="00B2186B"/>
    <w:rsid w:val="00B62903"/>
    <w:rsid w:val="00BA45A6"/>
    <w:rsid w:val="00BB0A26"/>
    <w:rsid w:val="00BF5ABF"/>
    <w:rsid w:val="00C03B50"/>
    <w:rsid w:val="00C216A4"/>
    <w:rsid w:val="00C2431D"/>
    <w:rsid w:val="00C31FF2"/>
    <w:rsid w:val="00C43D46"/>
    <w:rsid w:val="00C44F28"/>
    <w:rsid w:val="00C75322"/>
    <w:rsid w:val="00C95007"/>
    <w:rsid w:val="00CA4C1B"/>
    <w:rsid w:val="00CC1778"/>
    <w:rsid w:val="00D24A07"/>
    <w:rsid w:val="00D27519"/>
    <w:rsid w:val="00D27C08"/>
    <w:rsid w:val="00D35E0A"/>
    <w:rsid w:val="00D4468D"/>
    <w:rsid w:val="00D63D86"/>
    <w:rsid w:val="00DF31D9"/>
    <w:rsid w:val="00E37A2A"/>
    <w:rsid w:val="00ED7B0B"/>
    <w:rsid w:val="00EE5FE8"/>
    <w:rsid w:val="00F152AD"/>
    <w:rsid w:val="00F60402"/>
    <w:rsid w:val="00FA7F00"/>
    <w:rsid w:val="00FB48F2"/>
    <w:rsid w:val="00FB53FD"/>
    <w:rsid w:val="00FB79F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8206F4"/>
  <w15:docId w15:val="{E202E1A8-1353-47A2-8B8A-FDFED35C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is.org/01_aws/faqs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is.org/01_resources/docs/LB/ATIS_LB_CCRPreso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264d619ceb767f2bd73d0d18b0f90fac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7dffb6e6b260b0e423d449f1d9b4ee69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DC184-E2AA-4C02-8060-5E7F08B8A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5D5DC-CA1F-428F-8690-D1B6CEB07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635B7-F8C4-447A-A8E1-A642C2DEC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F3A9E-B671-4AA3-BEE9-1A14463E6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14</cp:revision>
  <cp:lastPrinted>2015-02-04T18:26:00Z</cp:lastPrinted>
  <dcterms:created xsi:type="dcterms:W3CDTF">2020-08-05T18:34:00Z</dcterms:created>
  <dcterms:modified xsi:type="dcterms:W3CDTF">2020-08-12T19:12:00Z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