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3BD30066" w14:textId="77777777" w:rsidTr="006D16E6">
        <w:trPr>
          <w:trHeight w:val="1134"/>
        </w:trPr>
        <w:tc>
          <w:tcPr>
            <w:tcW w:w="14220" w:type="dxa"/>
          </w:tcPr>
          <w:p w14:paraId="3BD30064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3BD30065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14:paraId="3BD30067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3BD30068" w14:textId="77777777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 w:rsidRPr="001D323F">
        <w:t xml:space="preserve">Letter Ballot: </w:t>
      </w:r>
      <w:r w:rsidR="00C31FF2" w:rsidRPr="001D323F">
        <w:t xml:space="preserve"> </w:t>
      </w:r>
      <w:r w:rsidR="00443476" w:rsidRPr="001D323F">
        <w:t>[</w:t>
      </w:r>
      <w:r w:rsidR="00DE2304">
        <w:rPr>
          <w:rFonts w:ascii="Verdana" w:hAnsi="Verdana"/>
          <w:color w:val="000000"/>
          <w:shd w:val="clear" w:color="auto" w:fill="EEEEEE"/>
        </w:rPr>
        <w:t>PTSC-LB-251</w:t>
      </w:r>
      <w:r w:rsidR="00443476" w:rsidRPr="001D323F">
        <w:t>]</w:t>
      </w:r>
    </w:p>
    <w:p w14:paraId="3BD30069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57"/>
        <w:gridCol w:w="3983"/>
        <w:gridCol w:w="3780"/>
        <w:gridCol w:w="450"/>
        <w:gridCol w:w="450"/>
        <w:gridCol w:w="4377"/>
      </w:tblGrid>
      <w:tr w:rsidR="00C216A4" w14:paraId="3BD3006B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3BD3006A" w14:textId="77777777" w:rsidR="00C216A4" w:rsidRPr="00C216A4" w:rsidRDefault="00C216A4" w:rsidP="00507C46">
            <w:pPr>
              <w:rPr>
                <w:b/>
              </w:rPr>
            </w:pPr>
            <w:r w:rsidRPr="001D323F">
              <w:rPr>
                <w:b/>
              </w:rPr>
              <w:t xml:space="preserve">Company Name: </w:t>
            </w:r>
            <w:r w:rsidR="00443476" w:rsidRPr="001D323F">
              <w:rPr>
                <w:b/>
              </w:rPr>
              <w:t xml:space="preserve"> [</w:t>
            </w:r>
            <w:r w:rsidR="00507C46" w:rsidRPr="001D323F">
              <w:rPr>
                <w:b/>
              </w:rPr>
              <w:t>Charter Communication</w:t>
            </w:r>
            <w:r w:rsidR="00443476" w:rsidRPr="001D323F">
              <w:rPr>
                <w:b/>
              </w:rPr>
              <w:t>]</w:t>
            </w:r>
          </w:p>
        </w:tc>
      </w:tr>
      <w:tr w:rsidR="00A90FAD" w14:paraId="3BD3006E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BD3006C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3BD3006D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3BD30076" w14:textId="77777777" w:rsidTr="006800C9">
        <w:trPr>
          <w:cantSplit/>
          <w:trHeight w:val="917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3BD3006F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14:paraId="3BD30070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3BD30071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BD30072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3BD30073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3BD30074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3BD30075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05277F" w14:paraId="3BD30080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3BD30077" w14:textId="77777777" w:rsidR="0005277F" w:rsidRDefault="0005277F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78" w14:textId="77777777" w:rsidR="0005277F" w:rsidRPr="00647082" w:rsidRDefault="00953A4E" w:rsidP="00605B8D">
            <w:pPr>
              <w:rPr>
                <w:rFonts w:cs="Arial"/>
              </w:rPr>
            </w:pPr>
            <w:r>
              <w:rPr>
                <w:rFonts w:cs="Arial"/>
              </w:rPr>
              <w:t xml:space="preserve">Lines: </w:t>
            </w:r>
            <w:r w:rsidR="006800C9">
              <w:rPr>
                <w:rFonts w:cs="Arial"/>
              </w:rPr>
              <w:t>173, 178, 180, 264, 333, 336</w:t>
            </w:r>
          </w:p>
        </w:tc>
        <w:tc>
          <w:tcPr>
            <w:tcW w:w="3983" w:type="dxa"/>
          </w:tcPr>
          <w:p w14:paraId="3BD30079" w14:textId="77777777" w:rsidR="006800C9" w:rsidRDefault="006800C9" w:rsidP="00605B8D">
            <w:pPr>
              <w:rPr>
                <w:rFonts w:ascii="CIDFont+F1" w:eastAsiaTheme="minorHAnsi" w:hAnsi="CIDFont+F1" w:cs="CIDFont+F1"/>
                <w:sz w:val="18"/>
                <w:szCs w:val="18"/>
              </w:rPr>
            </w:pPr>
            <w:r>
              <w:rPr>
                <w:rFonts w:cs="Arial"/>
              </w:rPr>
              <w:t xml:space="preserve">Replace </w:t>
            </w:r>
            <w:r>
              <w:rPr>
                <w:rFonts w:ascii="CIDFont+F1" w:eastAsiaTheme="minorHAnsi" w:hAnsi="CIDFont+F1" w:cs="CIDFont+F1"/>
                <w:sz w:val="18"/>
                <w:szCs w:val="18"/>
              </w:rPr>
              <w:t xml:space="preserve">PASSPorT with PASSporT and </w:t>
            </w:r>
          </w:p>
          <w:p w14:paraId="3BD3007A" w14:textId="77777777" w:rsidR="006800C9" w:rsidRDefault="006800C9" w:rsidP="00B11A88">
            <w:pPr>
              <w:rPr>
                <w:rFonts w:ascii="CIDFont+F1" w:eastAsiaTheme="minorHAnsi" w:hAnsi="CIDFont+F1" w:cs="CIDFont+F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IDFont+F1" w:eastAsiaTheme="minorHAnsi" w:hAnsi="CIDFont+F1" w:cs="CIDFont+F1"/>
                <w:sz w:val="18"/>
                <w:szCs w:val="18"/>
              </w:rPr>
              <w:t>PASSPorTs</w:t>
            </w:r>
            <w:proofErr w:type="spellEnd"/>
            <w:r>
              <w:rPr>
                <w:rFonts w:ascii="CIDFont+F1" w:eastAsiaTheme="minorHAnsi" w:hAnsi="CIDFont+F1" w:cs="CIDFont+F1"/>
                <w:sz w:val="18"/>
                <w:szCs w:val="18"/>
              </w:rPr>
              <w:t xml:space="preserve"> </w:t>
            </w:r>
            <w:r w:rsidR="00B11A88">
              <w:rPr>
                <w:rFonts w:ascii="CIDFont+F1" w:eastAsiaTheme="minorHAnsi" w:hAnsi="CIDFont+F1" w:cs="CIDFont+F1"/>
                <w:sz w:val="18"/>
                <w:szCs w:val="18"/>
              </w:rPr>
              <w:t xml:space="preserve"> </w:t>
            </w:r>
            <w:r w:rsidR="00B101A7">
              <w:rPr>
                <w:rFonts w:ascii="CIDFont+F1" w:eastAsiaTheme="minorHAnsi" w:hAnsi="CIDFont+F1" w:cs="CIDFont+F1"/>
                <w:sz w:val="18"/>
                <w:szCs w:val="18"/>
              </w:rPr>
              <w:t>with</w:t>
            </w:r>
            <w:proofErr w:type="gramEnd"/>
            <w:r w:rsidR="00B11A88">
              <w:rPr>
                <w:rFonts w:ascii="CIDFont+F1" w:eastAsiaTheme="minorHAnsi" w:hAnsi="CIDFont+F1" w:cs="CIDFont+F1"/>
                <w:sz w:val="18"/>
                <w:szCs w:val="18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IDFont+F1" w:eastAsiaTheme="minorHAnsi" w:hAnsi="CIDFont+F1" w:cs="CIDFont+F1"/>
                <w:sz w:val="18"/>
                <w:szCs w:val="18"/>
              </w:rPr>
              <w:t>PASSporTs</w:t>
            </w:r>
            <w:proofErr w:type="spellEnd"/>
            <w:r w:rsidR="00B11A88">
              <w:rPr>
                <w:rFonts w:ascii="CIDFont+F1" w:eastAsiaTheme="minorHAnsi" w:hAnsi="CIDFont+F1" w:cs="CIDFont+F1"/>
                <w:sz w:val="18"/>
                <w:szCs w:val="18"/>
              </w:rPr>
              <w:t>, respectively.</w:t>
            </w:r>
          </w:p>
          <w:p w14:paraId="3BD3007B" w14:textId="77777777" w:rsidR="00B11A88" w:rsidRPr="006800C9" w:rsidRDefault="00B11A88" w:rsidP="00B11A88">
            <w:pPr>
              <w:rPr>
                <w:rFonts w:ascii="CIDFont+F1" w:eastAsiaTheme="minorHAnsi" w:hAnsi="CIDFont+F1" w:cs="CIDFont+F1"/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7C" w14:textId="77777777" w:rsidR="0005277F" w:rsidRPr="00647082" w:rsidRDefault="00953A4E" w:rsidP="00605B8D">
            <w:pPr>
              <w:rPr>
                <w:rFonts w:cs="Arial"/>
              </w:rPr>
            </w:pPr>
            <w:r>
              <w:rPr>
                <w:rFonts w:cs="Arial"/>
              </w:rPr>
              <w:t>Typo</w:t>
            </w:r>
            <w:r w:rsidR="006800C9">
              <w:rPr>
                <w:rFonts w:cs="Arial"/>
              </w:rPr>
              <w:t xml:space="preserve"> correction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7D" w14:textId="573E73B6" w:rsidR="0005277F" w:rsidRPr="006D16E6" w:rsidRDefault="00370CC5" w:rsidP="0060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7E" w14:textId="55A3107F" w:rsidR="0005277F" w:rsidRPr="006D16E6" w:rsidRDefault="006537C8" w:rsidP="0060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7F" w14:textId="77777777" w:rsidR="0005277F" w:rsidRPr="006D16E6" w:rsidRDefault="0005277F" w:rsidP="00605B8D">
            <w:pPr>
              <w:rPr>
                <w:sz w:val="22"/>
                <w:szCs w:val="22"/>
              </w:rPr>
            </w:pPr>
          </w:p>
        </w:tc>
      </w:tr>
      <w:tr w:rsidR="007C0ACF" w14:paraId="3BD3008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81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82" w14:textId="77777777" w:rsidR="00C31FF2" w:rsidRPr="00647082" w:rsidRDefault="00953A4E" w:rsidP="00C31FF2">
            <w:pPr>
              <w:rPr>
                <w:rFonts w:cs="Arial"/>
              </w:rPr>
            </w:pPr>
            <w:r>
              <w:rPr>
                <w:rFonts w:cs="Arial"/>
              </w:rPr>
              <w:t xml:space="preserve">Line </w:t>
            </w:r>
            <w:r w:rsidR="006800C9">
              <w:rPr>
                <w:rFonts w:cs="Arial"/>
              </w:rPr>
              <w:t>31</w:t>
            </w:r>
          </w:p>
        </w:tc>
        <w:tc>
          <w:tcPr>
            <w:tcW w:w="3983" w:type="dxa"/>
          </w:tcPr>
          <w:p w14:paraId="3BD30083" w14:textId="77777777" w:rsidR="00C31FF2" w:rsidRDefault="006800C9" w:rsidP="00FE222B">
            <w:pPr>
              <w:rPr>
                <w:rFonts w:ascii="CIDFont+F1" w:eastAsiaTheme="minorHAnsi" w:hAnsi="CIDFont+F1" w:cs="CIDFont+F1"/>
              </w:rPr>
            </w:pPr>
            <w:r>
              <w:rPr>
                <w:rFonts w:cs="Arial"/>
              </w:rPr>
              <w:t>In “</w:t>
            </w:r>
            <w:r>
              <w:rPr>
                <w:rFonts w:ascii="CIDFont+F1" w:eastAsiaTheme="minorHAnsi" w:hAnsi="CIDFont+F1" w:cs="CIDFont+F1"/>
              </w:rPr>
              <w:t xml:space="preserve">Clause 5 specifies the normative requirements to </w:t>
            </w:r>
            <w:r w:rsidRPr="003C01DE">
              <w:rPr>
                <w:rFonts w:ascii="CIDFont+F1" w:eastAsiaTheme="minorHAnsi" w:hAnsi="CIDFont+F1" w:cs="CIDFont+F1"/>
                <w:shd w:val="clear" w:color="auto" w:fill="FFFF00"/>
              </w:rPr>
              <w:t>add support</w:t>
            </w:r>
            <w:r>
              <w:rPr>
                <w:rFonts w:ascii="CIDFont+F1" w:eastAsiaTheme="minorHAnsi" w:hAnsi="CIDFont+F1" w:cs="CIDFont+F1"/>
              </w:rPr>
              <w:t xml:space="preserve"> draft-</w:t>
            </w:r>
            <w:proofErr w:type="spellStart"/>
            <w:r>
              <w:rPr>
                <w:rFonts w:ascii="CIDFont+F1" w:eastAsiaTheme="minorHAnsi" w:hAnsi="CIDFont+F1" w:cs="CIDFont+F1"/>
              </w:rPr>
              <w:t>ietf</w:t>
            </w:r>
            <w:proofErr w:type="spellEnd"/>
            <w:r>
              <w:rPr>
                <w:rFonts w:ascii="CIDFont+F1" w:eastAsiaTheme="minorHAnsi" w:hAnsi="CIDFont+F1" w:cs="CIDFont+F1"/>
              </w:rPr>
              <w:t>-stir-passport-divert [Ref 4] to SHAKEN.”</w:t>
            </w:r>
          </w:p>
          <w:p w14:paraId="3BD30084" w14:textId="77777777" w:rsidR="006800C9" w:rsidRDefault="00B101A7" w:rsidP="00FE222B">
            <w:pPr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In the above</w:t>
            </w:r>
            <w:r w:rsidR="00B11A88">
              <w:rPr>
                <w:rFonts w:ascii="CIDFont+F1" w:eastAsiaTheme="minorHAnsi" w:hAnsi="CIDFont+F1" w:cs="CIDFont+F1"/>
              </w:rPr>
              <w:t xml:space="preserve"> replace</w:t>
            </w:r>
            <w:r w:rsidR="006800C9">
              <w:rPr>
                <w:rFonts w:ascii="CIDFont+F1" w:eastAsiaTheme="minorHAnsi" w:hAnsi="CIDFont+F1" w:cs="CIDFont+F1"/>
              </w:rPr>
              <w:t xml:space="preserve"> </w:t>
            </w:r>
            <w:r w:rsidR="00953A4E">
              <w:rPr>
                <w:rFonts w:ascii="CIDFont+F1" w:eastAsiaTheme="minorHAnsi" w:hAnsi="CIDFont+F1" w:cs="CIDFont+F1"/>
              </w:rPr>
              <w:t>“</w:t>
            </w:r>
            <w:r w:rsidR="003C01DE">
              <w:rPr>
                <w:rFonts w:ascii="CIDFont+F1" w:eastAsiaTheme="minorHAnsi" w:hAnsi="CIDFont+F1" w:cs="CIDFont+F1"/>
              </w:rPr>
              <w:t xml:space="preserve">add </w:t>
            </w:r>
            <w:r w:rsidR="006800C9">
              <w:rPr>
                <w:rFonts w:ascii="CIDFont+F1" w:eastAsiaTheme="minorHAnsi" w:hAnsi="CIDFont+F1" w:cs="CIDFont+F1"/>
              </w:rPr>
              <w:t>support</w:t>
            </w:r>
            <w:r w:rsidR="00953A4E">
              <w:rPr>
                <w:rFonts w:ascii="CIDFont+F1" w:eastAsiaTheme="minorHAnsi" w:hAnsi="CIDFont+F1" w:cs="CIDFont+F1"/>
              </w:rPr>
              <w:t>”</w:t>
            </w:r>
            <w:r w:rsidR="006800C9">
              <w:rPr>
                <w:rFonts w:ascii="CIDFont+F1" w:eastAsiaTheme="minorHAnsi" w:hAnsi="CIDFont+F1" w:cs="CIDFont+F1"/>
              </w:rPr>
              <w:t xml:space="preserve"> </w:t>
            </w:r>
            <w:r w:rsidR="00953A4E">
              <w:rPr>
                <w:rFonts w:ascii="CIDFont+F1" w:eastAsiaTheme="minorHAnsi" w:hAnsi="CIDFont+F1" w:cs="CIDFont+F1"/>
              </w:rPr>
              <w:t>with either</w:t>
            </w:r>
          </w:p>
          <w:p w14:paraId="3BD30085" w14:textId="77777777" w:rsidR="003C01DE" w:rsidRDefault="003C01DE" w:rsidP="00FE222B">
            <w:pPr>
              <w:rPr>
                <w:rFonts w:ascii="CIDFont+F1" w:eastAsiaTheme="minorHAnsi" w:hAnsi="CIDFont+F1" w:cs="CIDFont+F1"/>
              </w:rPr>
            </w:pPr>
            <w:r>
              <w:rPr>
                <w:rFonts w:cs="Arial"/>
              </w:rPr>
              <w:t>“support”</w:t>
            </w:r>
          </w:p>
          <w:p w14:paraId="3BD30086" w14:textId="77777777" w:rsidR="00953A4E" w:rsidRDefault="00953A4E" w:rsidP="00FE222B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3C01DE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>support of” or</w:t>
            </w:r>
          </w:p>
          <w:p w14:paraId="3BD30087" w14:textId="77777777" w:rsidR="00953A4E" w:rsidRPr="00647082" w:rsidRDefault="00953A4E" w:rsidP="00FE222B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3C01DE">
              <w:rPr>
                <w:rFonts w:cs="Arial"/>
              </w:rPr>
              <w:t xml:space="preserve">add support for the </w:t>
            </w:r>
            <w:r>
              <w:rPr>
                <w:rFonts w:cs="Arial"/>
              </w:rPr>
              <w:t>extensions of”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88" w14:textId="77777777" w:rsidR="00C31FF2" w:rsidRPr="00647082" w:rsidRDefault="00953A4E" w:rsidP="00FE222B">
            <w:pPr>
              <w:rPr>
                <w:rFonts w:cs="Arial"/>
              </w:rPr>
            </w:pPr>
            <w:r>
              <w:rPr>
                <w:rFonts w:cs="Arial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89" w14:textId="56AFA6C5" w:rsidR="00C31FF2" w:rsidRPr="006D16E6" w:rsidRDefault="00370CC5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8A" w14:textId="6BBCB08D" w:rsidR="00C31FF2" w:rsidRPr="006D16E6" w:rsidRDefault="006537C8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8B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38155D" w14:paraId="3BD30096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3BD3008D" w14:textId="77777777" w:rsidR="0038155D" w:rsidRDefault="0038155D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8E" w14:textId="77777777" w:rsidR="0038155D" w:rsidRPr="00647082" w:rsidRDefault="00BF13A6" w:rsidP="00605B8D">
            <w:pPr>
              <w:rPr>
                <w:rFonts w:cs="Arial"/>
              </w:rPr>
            </w:pPr>
            <w:r>
              <w:rPr>
                <w:rFonts w:cs="Arial"/>
              </w:rPr>
              <w:t>Line 171</w:t>
            </w:r>
          </w:p>
        </w:tc>
        <w:tc>
          <w:tcPr>
            <w:tcW w:w="3983" w:type="dxa"/>
          </w:tcPr>
          <w:p w14:paraId="3BD3008F" w14:textId="77777777" w:rsidR="0038155D" w:rsidRDefault="00BF13A6" w:rsidP="00605B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(</w:t>
            </w:r>
            <w:r w:rsidRPr="00BF13A6">
              <w:rPr>
                <w:rFonts w:ascii="CIDFont+F1" w:eastAsiaTheme="minorHAnsi" w:hAnsi="CIDFont+F1" w:cs="CIDFont+F1"/>
                <w:shd w:val="clear" w:color="auto" w:fill="FFFF00"/>
              </w:rPr>
              <w:t>i.e</w:t>
            </w:r>
            <w:r>
              <w:rPr>
                <w:rFonts w:ascii="CIDFont+F1" w:eastAsiaTheme="minorHAnsi" w:hAnsi="CIDFont+F1" w:cs="CIDFont+F1"/>
              </w:rPr>
              <w:t>., using the recommended 60 second freshness window)</w:t>
            </w:r>
          </w:p>
          <w:p w14:paraId="3BD30090" w14:textId="77777777" w:rsidR="00B11A88" w:rsidRDefault="00B11A88" w:rsidP="00605B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91" w14:textId="77777777" w:rsidR="00BF13A6" w:rsidRPr="00647082" w:rsidRDefault="00B101A7" w:rsidP="00605B8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ascii="CIDFont+F1" w:eastAsiaTheme="minorHAnsi" w:hAnsi="CIDFont+F1" w:cs="CIDFont+F1"/>
              </w:rPr>
              <w:t>In the above</w:t>
            </w:r>
            <w:r w:rsidR="00B11A88">
              <w:rPr>
                <w:rFonts w:ascii="CIDFont+F1" w:eastAsiaTheme="minorHAnsi" w:hAnsi="CIDFont+F1" w:cs="CIDFont+F1"/>
              </w:rPr>
              <w:t xml:space="preserve"> replace</w:t>
            </w:r>
            <w:r w:rsidR="00BF13A6">
              <w:rPr>
                <w:rFonts w:ascii="CIDFont+F1" w:eastAsiaTheme="minorHAnsi" w:hAnsi="CIDFont+F1" w:cs="CIDFont+F1"/>
              </w:rPr>
              <w:t xml:space="preserve"> “i.e.” with “e.g.”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92" w14:textId="77777777" w:rsidR="0038155D" w:rsidRPr="00647082" w:rsidRDefault="00BF13A6" w:rsidP="00605B8D">
            <w:pPr>
              <w:rPr>
                <w:rFonts w:cs="Arial"/>
              </w:rPr>
            </w:pPr>
            <w:r>
              <w:rPr>
                <w:rFonts w:cs="Arial"/>
              </w:rPr>
              <w:t>Using i.e. implies that the freshness window MUST be 60 seconds versus that 60 seconds is a recommended (SHOULD) value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93" w14:textId="512BFF86" w:rsidR="0038155D" w:rsidRPr="006D16E6" w:rsidRDefault="008C3F91" w:rsidP="0060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94" w14:textId="1C64A7C4" w:rsidR="0038155D" w:rsidRPr="006D16E6" w:rsidRDefault="00E0551C" w:rsidP="0060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95" w14:textId="77777777" w:rsidR="0038155D" w:rsidRPr="006D16E6" w:rsidRDefault="0038155D" w:rsidP="00605B8D">
            <w:pPr>
              <w:rPr>
                <w:sz w:val="22"/>
                <w:szCs w:val="22"/>
              </w:rPr>
            </w:pPr>
          </w:p>
        </w:tc>
      </w:tr>
      <w:tr w:rsidR="007C0ACF" w14:paraId="3BD300A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97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98" w14:textId="77777777" w:rsidR="00C31FF2" w:rsidRPr="00647082" w:rsidRDefault="00BF13A6" w:rsidP="00507C46">
            <w:pPr>
              <w:rPr>
                <w:rFonts w:cs="Arial"/>
              </w:rPr>
            </w:pPr>
            <w:r>
              <w:rPr>
                <w:rFonts w:cs="Arial"/>
              </w:rPr>
              <w:t>Line 173-174</w:t>
            </w:r>
          </w:p>
        </w:tc>
        <w:tc>
          <w:tcPr>
            <w:tcW w:w="3983" w:type="dxa"/>
          </w:tcPr>
          <w:p w14:paraId="3BD30099" w14:textId="77777777" w:rsidR="00C31FF2" w:rsidRDefault="00921094" w:rsidP="00BF1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or extend the freshness window of these earlier </w:t>
            </w:r>
            <w:proofErr w:type="spellStart"/>
            <w:r>
              <w:rPr>
                <w:rFonts w:ascii="CIDFont+F1" w:eastAsiaTheme="minorHAnsi" w:hAnsi="CIDFont+F1" w:cs="CIDFont+F1"/>
              </w:rPr>
              <w:t>PASSPorTs</w:t>
            </w:r>
            <w:proofErr w:type="spellEnd"/>
            <w:r>
              <w:rPr>
                <w:rFonts w:ascii="CIDFont+F1" w:eastAsiaTheme="minorHAnsi" w:hAnsi="CIDFont+F1" w:cs="CIDFont+F1"/>
              </w:rPr>
              <w:t xml:space="preserve"> </w:t>
            </w:r>
            <w:r w:rsidR="00BF13A6">
              <w:rPr>
                <w:rFonts w:ascii="CIDFont+F1" w:eastAsiaTheme="minorHAnsi" w:hAnsi="CIDFont+F1" w:cs="CIDFont+F1"/>
              </w:rPr>
              <w:t xml:space="preserve">beyond </w:t>
            </w:r>
            <w:r w:rsidR="00BF13A6" w:rsidRPr="00921094">
              <w:rPr>
                <w:rFonts w:ascii="CIDFont+F1" w:eastAsiaTheme="minorHAnsi" w:hAnsi="CIDFont+F1" w:cs="CIDFont+F1"/>
                <w:shd w:val="clear" w:color="auto" w:fill="FFFF00"/>
              </w:rPr>
              <w:t>60 second</w:t>
            </w:r>
            <w:r w:rsidR="00BF13A6">
              <w:rPr>
                <w:rFonts w:ascii="CIDFont+F1" w:eastAsiaTheme="minorHAnsi" w:hAnsi="CIDFont+F1" w:cs="CIDFont+F1"/>
              </w:rPr>
              <w:t>”</w:t>
            </w:r>
          </w:p>
          <w:p w14:paraId="3BD3009A" w14:textId="77777777" w:rsidR="00921094" w:rsidRDefault="00921094" w:rsidP="00BF1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9B" w14:textId="77777777" w:rsidR="00921094" w:rsidRPr="00BF13A6" w:rsidRDefault="00B101A7" w:rsidP="00BF13A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In the above</w:t>
            </w:r>
            <w:r w:rsidR="00B11A88">
              <w:rPr>
                <w:rFonts w:ascii="CIDFont+F1" w:eastAsiaTheme="minorHAnsi" w:hAnsi="CIDFont+F1" w:cs="CIDFont+F1"/>
              </w:rPr>
              <w:t xml:space="preserve"> </w:t>
            </w:r>
            <w:r w:rsidR="00921094">
              <w:rPr>
                <w:rFonts w:ascii="CIDFont+F1" w:eastAsiaTheme="minorHAnsi" w:hAnsi="CIDFont+F1" w:cs="CIDFont+F1"/>
              </w:rPr>
              <w:t>replace “60 seconds” with “the normal limit”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9C" w14:textId="77777777" w:rsidR="00C31FF2" w:rsidRPr="00647082" w:rsidRDefault="00997F71" w:rsidP="00C31FF2">
            <w:pPr>
              <w:rPr>
                <w:rFonts w:cs="Arial"/>
              </w:rPr>
            </w:pPr>
            <w:r>
              <w:rPr>
                <w:rFonts w:cs="Arial"/>
              </w:rPr>
              <w:t>Same a 3.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9D" w14:textId="6C1FC5DD" w:rsidR="00C31FF2" w:rsidRPr="006D16E6" w:rsidRDefault="00E0551C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9E" w14:textId="19F695B7" w:rsidR="00C31FF2" w:rsidRPr="006D16E6" w:rsidRDefault="00E0551C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9F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3BD300A8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A1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A2" w14:textId="77777777" w:rsidR="00C31FF2" w:rsidRPr="00647082" w:rsidRDefault="00921094" w:rsidP="00C31FF2">
            <w:pPr>
              <w:rPr>
                <w:rFonts w:cs="Arial"/>
              </w:rPr>
            </w:pPr>
            <w:r>
              <w:rPr>
                <w:rFonts w:cs="Arial"/>
              </w:rPr>
              <w:t>Line 176</w:t>
            </w:r>
          </w:p>
        </w:tc>
        <w:tc>
          <w:tcPr>
            <w:tcW w:w="3983" w:type="dxa"/>
          </w:tcPr>
          <w:p w14:paraId="3BD300A3" w14:textId="77777777" w:rsidR="00C31FF2" w:rsidRPr="00647082" w:rsidRDefault="00921094" w:rsidP="00C352F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Delete “</w:t>
            </w:r>
            <w:r>
              <w:rPr>
                <w:rFonts w:ascii="CIDFont+F1" w:eastAsiaTheme="minorHAnsi" w:hAnsi="CIDFont+F1" w:cs="CIDFont+F1"/>
              </w:rPr>
              <w:t>(60 second freshness window)”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A4" w14:textId="77777777" w:rsidR="00C31FF2" w:rsidRPr="00647082" w:rsidRDefault="00997F71" w:rsidP="00C31FF2">
            <w:pPr>
              <w:rPr>
                <w:rFonts w:cs="Arial"/>
              </w:rPr>
            </w:pPr>
            <w:r>
              <w:rPr>
                <w:rFonts w:cs="Arial"/>
              </w:rPr>
              <w:t>Same as 3.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A5" w14:textId="08BB3481" w:rsidR="00C31FF2" w:rsidRPr="006D16E6" w:rsidRDefault="00E0551C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A6" w14:textId="10D9F52F" w:rsidR="00C31FF2" w:rsidRPr="006D16E6" w:rsidRDefault="00E0551C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A7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B101A7" w14:paraId="3BD300B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A9" w14:textId="77777777" w:rsidR="00B101A7" w:rsidRDefault="00B101A7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AA" w14:textId="77777777" w:rsidR="00B101A7" w:rsidRDefault="00B101A7" w:rsidP="00C31FF2">
            <w:pPr>
              <w:rPr>
                <w:rFonts w:cs="Arial"/>
              </w:rPr>
            </w:pPr>
            <w:r>
              <w:rPr>
                <w:rFonts w:cs="Arial"/>
              </w:rPr>
              <w:t>Line 183</w:t>
            </w:r>
          </w:p>
        </w:tc>
        <w:tc>
          <w:tcPr>
            <w:tcW w:w="3983" w:type="dxa"/>
          </w:tcPr>
          <w:p w14:paraId="3BD300AB" w14:textId="77777777" w:rsidR="00B101A7" w:rsidRDefault="00B101A7" w:rsidP="00C352F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This </w:t>
            </w:r>
            <w:r w:rsidRPr="00B101A7">
              <w:rPr>
                <w:rFonts w:ascii="CIDFont+F1" w:eastAsiaTheme="minorHAnsi" w:hAnsi="CIDFont+F1" w:cs="CIDFont+F1"/>
                <w:shd w:val="clear" w:color="auto" w:fill="FFFF00"/>
              </w:rPr>
              <w:t>section</w:t>
            </w:r>
            <w:r>
              <w:rPr>
                <w:rFonts w:ascii="CIDFont+F1" w:eastAsiaTheme="minorHAnsi" w:hAnsi="CIDFont+F1" w:cs="CIDFont+F1"/>
              </w:rPr>
              <w:t xml:space="preserve"> describes</w:t>
            </w:r>
          </w:p>
          <w:p w14:paraId="3BD300AC" w14:textId="77777777" w:rsidR="00B101A7" w:rsidRDefault="00B101A7" w:rsidP="00C352F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AD" w14:textId="77777777" w:rsidR="00B101A7" w:rsidRDefault="00B101A7" w:rsidP="00C352F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B101A7">
              <w:rPr>
                <w:rFonts w:eastAsiaTheme="minorHAnsi" w:cs="Arial"/>
              </w:rPr>
              <w:t>In the above</w:t>
            </w:r>
            <w:r>
              <w:rPr>
                <w:rFonts w:eastAsiaTheme="minorHAnsi" w:cs="Arial"/>
              </w:rPr>
              <w:t>, replace “section” with “clause”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AE" w14:textId="77777777" w:rsidR="00B101A7" w:rsidRPr="00647082" w:rsidRDefault="00B101A7" w:rsidP="00C31FF2">
            <w:pPr>
              <w:rPr>
                <w:rFonts w:cs="Arial"/>
              </w:rPr>
            </w:pPr>
            <w:r>
              <w:rPr>
                <w:rFonts w:cs="Arial"/>
              </w:rPr>
              <w:t>Editorial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AF" w14:textId="402BB80C" w:rsidR="00B101A7" w:rsidRPr="006D16E6" w:rsidRDefault="000A6525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B0" w14:textId="7F6CFE8F" w:rsidR="00B101A7" w:rsidRPr="006D16E6" w:rsidRDefault="00D8215A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B1" w14:textId="77777777" w:rsidR="00B101A7" w:rsidRPr="006D16E6" w:rsidRDefault="00B101A7" w:rsidP="00C31FF2">
            <w:pPr>
              <w:rPr>
                <w:sz w:val="22"/>
                <w:szCs w:val="22"/>
              </w:rPr>
            </w:pPr>
          </w:p>
        </w:tc>
      </w:tr>
      <w:tr w:rsidR="00507C46" w14:paraId="3BD300C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B3" w14:textId="77777777" w:rsidR="00507C46" w:rsidRDefault="00507C46" w:rsidP="00995529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B4" w14:textId="77777777" w:rsidR="00507C46" w:rsidRPr="00647082" w:rsidRDefault="00921094" w:rsidP="00C352F7">
            <w:pPr>
              <w:rPr>
                <w:rFonts w:cs="Arial"/>
              </w:rPr>
            </w:pPr>
            <w:r>
              <w:rPr>
                <w:rFonts w:cs="Arial"/>
              </w:rPr>
              <w:t>Lines 187-190</w:t>
            </w:r>
          </w:p>
        </w:tc>
        <w:tc>
          <w:tcPr>
            <w:tcW w:w="3983" w:type="dxa"/>
          </w:tcPr>
          <w:p w14:paraId="3BD300B5" w14:textId="77777777" w:rsidR="00507C46" w:rsidRDefault="00B11A88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Therefore, if the retargeted </w:t>
            </w:r>
            <w:r w:rsidR="00921094">
              <w:rPr>
                <w:rFonts w:ascii="CIDFont+F1" w:eastAsiaTheme="minorHAnsi" w:hAnsi="CIDFont+F1" w:cs="CIDFont+F1"/>
              </w:rPr>
              <w:t>INVITE request does not contain an Identity header, then the STI-AS of the re</w:t>
            </w:r>
            <w:r>
              <w:rPr>
                <w:rFonts w:ascii="CIDFont+F1" w:eastAsiaTheme="minorHAnsi" w:hAnsi="CIDFont+F1" w:cs="CIDFont+F1"/>
              </w:rPr>
              <w:t xml:space="preserve">targeting </w:t>
            </w:r>
            <w:r w:rsidRPr="00B11A88">
              <w:rPr>
                <w:rFonts w:ascii="CIDFont+F1" w:eastAsiaTheme="minorHAnsi" w:hAnsi="CIDFont+F1" w:cs="CIDFont+F1"/>
                <w:shd w:val="clear" w:color="auto" w:fill="FFFF00"/>
              </w:rPr>
              <w:t>network may choose to</w:t>
            </w:r>
            <w:r w:rsidR="00921094" w:rsidRPr="00B11A88">
              <w:rPr>
                <w:rFonts w:ascii="CIDFont+F1" w:eastAsiaTheme="minorHAnsi" w:hAnsi="CIDFont+F1" w:cs="CIDFont+F1"/>
                <w:shd w:val="clear" w:color="auto" w:fill="FFFF00"/>
              </w:rPr>
              <w:t xml:space="preserve"> either skip authentication altogether, or to perform authentication based on l</w:t>
            </w:r>
            <w:r w:rsidRPr="00B11A88">
              <w:rPr>
                <w:rFonts w:ascii="CIDFont+F1" w:eastAsiaTheme="minorHAnsi" w:hAnsi="CIDFont+F1" w:cs="CIDFont+F1"/>
                <w:shd w:val="clear" w:color="auto" w:fill="FFFF00"/>
              </w:rPr>
              <w:t xml:space="preserve">ocal policy; e.g., perform base </w:t>
            </w:r>
            <w:r w:rsidR="00921094" w:rsidRPr="00B11A88">
              <w:rPr>
                <w:rFonts w:ascii="CIDFont+F1" w:eastAsiaTheme="minorHAnsi" w:hAnsi="CIDFont+F1" w:cs="CIDFont+F1"/>
                <w:shd w:val="clear" w:color="auto" w:fill="FFFF00"/>
              </w:rPr>
              <w:t>SHAKEN authentication with Gateway attestation</w:t>
            </w:r>
            <w:r w:rsidR="00921094">
              <w:rPr>
                <w:rFonts w:ascii="CIDFont+F1" w:eastAsiaTheme="minorHAnsi" w:hAnsi="CIDFont+F1" w:cs="CIDFont+F1"/>
              </w:rPr>
              <w:t>.</w:t>
            </w:r>
          </w:p>
          <w:p w14:paraId="3BD300B6" w14:textId="77777777" w:rsidR="00B11A88" w:rsidRDefault="00B11A88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B7" w14:textId="77777777" w:rsidR="00B11A88" w:rsidRDefault="00B101A7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In the above</w:t>
            </w:r>
            <w:r w:rsidR="00B11A88">
              <w:rPr>
                <w:rFonts w:ascii="CIDFont+F1" w:eastAsiaTheme="minorHAnsi" w:hAnsi="CIDFont+F1" w:cs="CIDFont+F1"/>
              </w:rPr>
              <w:t xml:space="preserve"> replace </w:t>
            </w:r>
            <w:proofErr w:type="gramStart"/>
            <w:r w:rsidR="00B11A88">
              <w:rPr>
                <w:rFonts w:ascii="CIDFont+F1" w:eastAsiaTheme="minorHAnsi" w:hAnsi="CIDFont+F1" w:cs="CIDFont+F1"/>
              </w:rPr>
              <w:t>“ network</w:t>
            </w:r>
            <w:proofErr w:type="gramEnd"/>
            <w:r w:rsidR="005A40AC">
              <w:rPr>
                <w:rFonts w:ascii="CIDFont+F1" w:eastAsiaTheme="minorHAnsi" w:hAnsi="CIDFont+F1" w:cs="CIDFont+F1"/>
              </w:rPr>
              <w:t xml:space="preserve"> may .. attestation”: with</w:t>
            </w:r>
          </w:p>
          <w:p w14:paraId="3BD300B8" w14:textId="77777777" w:rsidR="005A40AC" w:rsidRDefault="005A40AC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B9" w14:textId="77777777" w:rsidR="005A40AC" w:rsidRDefault="005A40AC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“network:</w:t>
            </w:r>
          </w:p>
          <w:p w14:paraId="3BD300BA" w14:textId="77777777" w:rsidR="00B11A88" w:rsidRDefault="00B11A88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BB" w14:textId="77777777" w:rsidR="00B11A88" w:rsidRDefault="005A40AC" w:rsidP="005A40A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5A40AC">
              <w:rPr>
                <w:rFonts w:ascii="CIDFont+F1" w:eastAsiaTheme="minorHAnsi" w:hAnsi="CIDFont+F1" w:cs="CIDFont+F1"/>
              </w:rPr>
              <w:t>s</w:t>
            </w:r>
            <w:r w:rsidR="00B11A88" w:rsidRPr="005A40AC">
              <w:rPr>
                <w:rFonts w:ascii="CIDFont+F1" w:eastAsiaTheme="minorHAnsi" w:hAnsi="CIDFont+F1" w:cs="CIDFont+F1"/>
              </w:rPr>
              <w:t>hall for the cases covered in clause 5.1, first perform SHAKEN authentication as specified in ATIS-1000074 [Ref 1], and then perform “div” authentication.</w:t>
            </w:r>
          </w:p>
          <w:p w14:paraId="3BD300BC" w14:textId="77777777" w:rsidR="005A40AC" w:rsidRPr="005A40AC" w:rsidRDefault="005A40AC" w:rsidP="005E035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Otherwise, </w:t>
            </w:r>
            <w:r w:rsidR="005E0355" w:rsidRPr="005E0355">
              <w:rPr>
                <w:rFonts w:ascii="CIDFont+F1" w:eastAsiaTheme="minorHAnsi" w:hAnsi="CIDFont+F1" w:cs="CIDFont+F1"/>
              </w:rPr>
              <w:t>may choose to either skip authentication altogether, or to perform authentication based on local policy; e.g., perform base SHAKEN authentication with Gateway attestation</w:t>
            </w:r>
            <w:r w:rsidR="0079519B" w:rsidRPr="0079519B">
              <w:rPr>
                <w:rFonts w:ascii="CIDFont+F1" w:eastAsiaTheme="minorHAnsi" w:hAnsi="CIDFont+F1" w:cs="CIDFont+F1"/>
                <w:shd w:val="clear" w:color="auto" w:fill="FFFF00"/>
              </w:rPr>
              <w:t>, and then perform div authentication</w:t>
            </w:r>
          </w:p>
          <w:p w14:paraId="3BD300BD" w14:textId="77777777" w:rsidR="00B11A88" w:rsidRPr="00B11A88" w:rsidRDefault="00B11A88" w:rsidP="00B11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BE" w14:textId="77777777" w:rsidR="00507C46" w:rsidRPr="00647082" w:rsidRDefault="0079519B" w:rsidP="0079519B">
            <w:pPr>
              <w:rPr>
                <w:rFonts w:cs="Arial"/>
              </w:rPr>
            </w:pPr>
            <w:r>
              <w:rPr>
                <w:rFonts w:cs="Arial"/>
              </w:rPr>
              <w:t>First bullet to align with clause 5.1 and the 2</w:t>
            </w:r>
            <w:r w:rsidRPr="0079519B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to align with step 3 in Figure A.2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BF" w14:textId="38AE0051" w:rsidR="00507C46" w:rsidRPr="006D16E6" w:rsidRDefault="006537C8" w:rsidP="0099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C0" w14:textId="064EF181" w:rsidR="00507C46" w:rsidRPr="006D16E6" w:rsidRDefault="006537C8" w:rsidP="00995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C1" w14:textId="77777777" w:rsidR="00507C46" w:rsidRPr="006D16E6" w:rsidRDefault="00507C46" w:rsidP="00995529">
            <w:pPr>
              <w:rPr>
                <w:sz w:val="22"/>
                <w:szCs w:val="22"/>
              </w:rPr>
            </w:pPr>
          </w:p>
        </w:tc>
      </w:tr>
      <w:tr w:rsidR="00507C46" w14:paraId="3BD300CD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C3" w14:textId="77777777"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C4" w14:textId="77777777" w:rsidR="00507C46" w:rsidRPr="00647082" w:rsidRDefault="005E0355" w:rsidP="00507C46">
            <w:pPr>
              <w:rPr>
                <w:rFonts w:cs="Arial"/>
              </w:rPr>
            </w:pPr>
            <w:r>
              <w:rPr>
                <w:rFonts w:cs="Arial"/>
              </w:rPr>
              <w:t>Lines 256-258</w:t>
            </w:r>
          </w:p>
        </w:tc>
        <w:tc>
          <w:tcPr>
            <w:tcW w:w="3983" w:type="dxa"/>
          </w:tcPr>
          <w:p w14:paraId="3BD300C5" w14:textId="77777777" w:rsidR="005E0355" w:rsidRDefault="005E0355" w:rsidP="005E035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The host SP </w:t>
            </w:r>
            <w:r w:rsidRPr="00CE79ED">
              <w:rPr>
                <w:rFonts w:ascii="CIDFont+F1" w:eastAsiaTheme="minorHAnsi" w:hAnsi="CIDFont+F1" w:cs="CIDFont+F1"/>
                <w:shd w:val="clear" w:color="auto" w:fill="FFFF00"/>
              </w:rPr>
              <w:t>shall</w:t>
            </w:r>
            <w:r>
              <w:rPr>
                <w:rFonts w:ascii="CIDFont+F1" w:eastAsiaTheme="minorHAnsi" w:hAnsi="CIDFont+F1" w:cs="CIDFont+F1"/>
              </w:rPr>
              <w:t xml:space="preserve"> convey the verification result in the INVITE request sent to the end-</w:t>
            </w:r>
            <w:r>
              <w:rPr>
                <w:rFonts w:ascii="CIDFont+F1" w:eastAsiaTheme="minorHAnsi" w:hAnsi="CIDFont+F1" w:cs="CIDFont+F1"/>
              </w:rPr>
              <w:lastRenderedPageBreak/>
              <w:t xml:space="preserve">user device using the </w:t>
            </w:r>
            <w:proofErr w:type="spellStart"/>
            <w:r>
              <w:rPr>
                <w:rFonts w:ascii="CIDFont+F1" w:eastAsiaTheme="minorHAnsi" w:hAnsi="CIDFont+F1" w:cs="CIDFont+F1"/>
              </w:rPr>
              <w:t>tel</w:t>
            </w:r>
            <w:proofErr w:type="spellEnd"/>
            <w:r>
              <w:rPr>
                <w:rFonts w:ascii="CIDFont+F1" w:eastAsiaTheme="minorHAnsi" w:hAnsi="CIDFont+F1" w:cs="CIDFont+F1"/>
              </w:rPr>
              <w:t xml:space="preserve"> URI "verstat" parameter, as specified in 3GPP TS</w:t>
            </w:r>
          </w:p>
          <w:p w14:paraId="3BD300C6" w14:textId="77777777" w:rsidR="00507C46" w:rsidRDefault="005E0355" w:rsidP="005E0355">
            <w:pPr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258 24.229 [Ref 10].</w:t>
            </w:r>
          </w:p>
          <w:p w14:paraId="3BD300C7" w14:textId="77777777" w:rsidR="00CE79ED" w:rsidRDefault="00CE79ED" w:rsidP="005E0355">
            <w:pPr>
              <w:rPr>
                <w:rFonts w:ascii="CIDFont+F1" w:eastAsiaTheme="minorHAnsi" w:hAnsi="CIDFont+F1" w:cs="CIDFont+F1"/>
              </w:rPr>
            </w:pPr>
          </w:p>
          <w:p w14:paraId="3BD300C8" w14:textId="77777777" w:rsidR="00CE79ED" w:rsidRPr="00647082" w:rsidRDefault="00CE79ED" w:rsidP="005E0355">
            <w:pPr>
              <w:rPr>
                <w:rFonts w:cs="Arial"/>
              </w:rPr>
            </w:pPr>
            <w:r>
              <w:rPr>
                <w:rFonts w:ascii="CIDFont+F1" w:eastAsiaTheme="minorHAnsi" w:hAnsi="CIDFont+F1" w:cs="CIDFont+F1"/>
              </w:rPr>
              <w:t>In the above replace “shall” with “may”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C9" w14:textId="77777777" w:rsidR="00507C46" w:rsidRPr="00647082" w:rsidRDefault="00CE79ED" w:rsidP="00507C4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Delivery of verstat to end-user is not mandatory.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CA" w14:textId="316F8027" w:rsidR="00507C46" w:rsidRPr="006D16E6" w:rsidRDefault="00007686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50" w:type="dxa"/>
          </w:tcPr>
          <w:p w14:paraId="3BD300CB" w14:textId="1D9438D4" w:rsidR="00507C46" w:rsidRPr="006D16E6" w:rsidRDefault="00007686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CC" w14:textId="77777777"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14:paraId="3BD300D7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CE" w14:textId="77777777"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CF" w14:textId="77777777" w:rsidR="00507C46" w:rsidRPr="00647082" w:rsidRDefault="0079519B" w:rsidP="00857C1B">
            <w:pPr>
              <w:rPr>
                <w:rFonts w:cs="Arial"/>
              </w:rPr>
            </w:pPr>
            <w:r>
              <w:rPr>
                <w:rFonts w:cs="Arial"/>
              </w:rPr>
              <w:t>Line 427</w:t>
            </w:r>
          </w:p>
        </w:tc>
        <w:tc>
          <w:tcPr>
            <w:tcW w:w="3983" w:type="dxa"/>
          </w:tcPr>
          <w:p w14:paraId="3BD300D0" w14:textId="77777777" w:rsidR="00507C46" w:rsidRDefault="0079519B" w:rsidP="00507C46">
            <w:r>
              <w:t xml:space="preserve">SP-b has </w:t>
            </w:r>
            <w:r w:rsidRPr="00DE2F10">
              <w:rPr>
                <w:highlight w:val="yellow"/>
              </w:rPr>
              <w:t>delegated</w:t>
            </w:r>
            <w:r>
              <w:t xml:space="preserve"> TN-b to SIP-PBX-1</w:t>
            </w:r>
          </w:p>
          <w:p w14:paraId="3BD300D1" w14:textId="77777777" w:rsidR="0079519B" w:rsidRDefault="0079519B" w:rsidP="00507C46"/>
          <w:p w14:paraId="3BD300D2" w14:textId="77777777" w:rsidR="0079519B" w:rsidRPr="00647082" w:rsidRDefault="0079519B" w:rsidP="00507C46">
            <w:pPr>
              <w:rPr>
                <w:rFonts w:cs="Arial"/>
              </w:rPr>
            </w:pPr>
            <w:r>
              <w:rPr>
                <w:rFonts w:ascii="CIDFont+F1" w:eastAsiaTheme="minorHAnsi" w:hAnsi="CIDFont+F1" w:cs="CIDFont+F1"/>
              </w:rPr>
              <w:t>In the above replace “delegated” with “assigned”</w:t>
            </w:r>
            <w:r w:rsidR="00C55012">
              <w:rPr>
                <w:rFonts w:ascii="CIDFont+F1" w:eastAsiaTheme="minorHAnsi" w:hAnsi="CIDFont+F1" w:cs="CIDFont+F1"/>
              </w:rPr>
              <w:t xml:space="preserve"> or could just delete the sentence.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D3" w14:textId="77777777" w:rsidR="00507C46" w:rsidRPr="00647082" w:rsidRDefault="0079519B" w:rsidP="00C55012">
            <w:pPr>
              <w:rPr>
                <w:rFonts w:cs="Arial"/>
              </w:rPr>
            </w:pPr>
            <w:r>
              <w:rPr>
                <w:rFonts w:cs="Arial"/>
              </w:rPr>
              <w:t>Editorial</w:t>
            </w:r>
            <w:r w:rsidR="00C55012">
              <w:rPr>
                <w:rFonts w:cs="Arial"/>
              </w:rPr>
              <w:t xml:space="preserve"> – to avoid any confusion with delegated certificate cases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D4" w14:textId="0CF25D64" w:rsidR="00507C46" w:rsidRPr="006D16E6" w:rsidRDefault="009026E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D5" w14:textId="7A4CB30C" w:rsidR="00507C46" w:rsidRPr="006D16E6" w:rsidRDefault="00705B62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D6" w14:textId="18F89848" w:rsidR="00507C46" w:rsidRPr="006D16E6" w:rsidRDefault="00EF4A97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Changed to: “SP-b has assigned TN-b to SIP-PBX-1.”</w:t>
            </w:r>
          </w:p>
        </w:tc>
      </w:tr>
      <w:tr w:rsidR="0002103E" w14:paraId="3BD300E4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D8" w14:textId="77777777" w:rsidR="0002103E" w:rsidRDefault="0002103E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D9" w14:textId="77777777" w:rsidR="0002103E" w:rsidRDefault="0002103E" w:rsidP="0002103E">
            <w:pPr>
              <w:rPr>
                <w:rFonts w:cs="Arial"/>
              </w:rPr>
            </w:pPr>
            <w:r>
              <w:rPr>
                <w:rFonts w:cs="Arial"/>
              </w:rPr>
              <w:t>Line 483-485</w:t>
            </w:r>
          </w:p>
        </w:tc>
        <w:tc>
          <w:tcPr>
            <w:tcW w:w="3983" w:type="dxa"/>
          </w:tcPr>
          <w:p w14:paraId="3BD300DA" w14:textId="77777777" w:rsid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In this case, SP-b would perform SHAKEN authentication on [3] INVITE (since it doesn’t contain a SHAKEN Identity header),and include a single SHAKEN Identity header for calling TN-a with "Gateway" attestation in [4] INVITE to SP-c.</w:t>
            </w:r>
          </w:p>
          <w:p w14:paraId="3BD300DB" w14:textId="77777777" w:rsid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DC" w14:textId="77777777" w:rsid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Replace the above with:</w:t>
            </w:r>
          </w:p>
          <w:p w14:paraId="3BD300DD" w14:textId="77777777" w:rsid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In this case, SP-b would perform SHAKEN and “div” authentication on [3] INVITE (since it doesn’t contain a SHAKEN Identity header). </w:t>
            </w:r>
            <w:r w:rsidR="00A929DE">
              <w:rPr>
                <w:rFonts w:ascii="CIDFont+F1" w:eastAsiaTheme="minorHAnsi" w:hAnsi="CIDFont+F1" w:cs="CIDFont+F1"/>
              </w:rPr>
              <w:t>[4] INVITE to SP-c contains a</w:t>
            </w:r>
            <w:r>
              <w:rPr>
                <w:rFonts w:ascii="CIDFont+F1" w:eastAsiaTheme="minorHAnsi" w:hAnsi="CIDFont+F1" w:cs="CIDFont+F1"/>
              </w:rPr>
              <w:t xml:space="preserve"> SHAKEN Identity header for calling TN-a with "Gateway" attestation </w:t>
            </w:r>
            <w:r w:rsidR="00A929DE">
              <w:rPr>
                <w:rFonts w:ascii="CIDFont+F1" w:eastAsiaTheme="minorHAnsi" w:hAnsi="CIDFont+F1" w:cs="CIDFont+F1"/>
              </w:rPr>
              <w:t>and a “div” PASSporT</w:t>
            </w:r>
            <w:r>
              <w:rPr>
                <w:rFonts w:ascii="CIDFont+F1" w:eastAsiaTheme="minorHAnsi" w:hAnsi="CIDFont+F1" w:cs="CIDFont+F1"/>
              </w:rPr>
              <w:t>.</w:t>
            </w:r>
          </w:p>
          <w:p w14:paraId="3BD300DE" w14:textId="77777777" w:rsid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BD300DF" w14:textId="77777777" w:rsidR="0002103E" w:rsidRPr="0002103E" w:rsidRDefault="0002103E" w:rsidP="000210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E0" w14:textId="77777777" w:rsidR="0002103E" w:rsidRDefault="0002103E" w:rsidP="00C55012">
            <w:pPr>
              <w:rPr>
                <w:rFonts w:cs="Arial"/>
              </w:rPr>
            </w:pPr>
            <w:r>
              <w:rPr>
                <w:rFonts w:cs="Arial"/>
              </w:rPr>
              <w:t>Align with step 3 in Table A.2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E1" w14:textId="0AD54E7F" w:rsidR="0002103E" w:rsidRPr="006D16E6" w:rsidRDefault="001B2AE8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E2" w14:textId="1538216B" w:rsidR="0002103E" w:rsidRPr="006D16E6" w:rsidRDefault="000151D3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E3" w14:textId="77777777" w:rsidR="0002103E" w:rsidRPr="006D16E6" w:rsidRDefault="0002103E" w:rsidP="00507C46">
            <w:pPr>
              <w:rPr>
                <w:sz w:val="22"/>
                <w:szCs w:val="22"/>
              </w:rPr>
            </w:pPr>
          </w:p>
        </w:tc>
      </w:tr>
      <w:tr w:rsidR="00507C46" w14:paraId="3BD300E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E5" w14:textId="77777777"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E6" w14:textId="77777777" w:rsidR="00507C46" w:rsidRPr="00647082" w:rsidRDefault="00C8668F" w:rsidP="00857C1B">
            <w:pPr>
              <w:rPr>
                <w:rFonts w:cs="Arial"/>
              </w:rPr>
            </w:pPr>
            <w:r>
              <w:rPr>
                <w:rFonts w:cs="Arial"/>
              </w:rPr>
              <w:t>Lines 532-533</w:t>
            </w:r>
          </w:p>
        </w:tc>
        <w:tc>
          <w:tcPr>
            <w:tcW w:w="3983" w:type="dxa"/>
          </w:tcPr>
          <w:p w14:paraId="3BD300E7" w14:textId="77777777" w:rsidR="00C53347" w:rsidRDefault="00C8668F" w:rsidP="00C8668F">
            <w:pPr>
              <w:rPr>
                <w:rFonts w:cs="Arial"/>
              </w:rPr>
            </w:pPr>
            <w:r>
              <w:rPr>
                <w:rFonts w:cs="Arial"/>
              </w:rPr>
              <w:t xml:space="preserve">Case-1 procedures </w:t>
            </w:r>
            <w:r w:rsidRPr="00C8668F">
              <w:rPr>
                <w:rFonts w:cs="Arial"/>
                <w:shd w:val="clear" w:color="auto" w:fill="FFFF00"/>
              </w:rPr>
              <w:t xml:space="preserve">shown in Annex Error! Reference source not </w:t>
            </w:r>
            <w:proofErr w:type="spellStart"/>
            <w:r w:rsidRPr="00C8668F">
              <w:rPr>
                <w:rFonts w:cs="Arial"/>
                <w:shd w:val="clear" w:color="auto" w:fill="FFFF00"/>
              </w:rPr>
              <w:t>found.Error</w:t>
            </w:r>
            <w:proofErr w:type="spellEnd"/>
            <w:r w:rsidRPr="00C8668F">
              <w:rPr>
                <w:rFonts w:cs="Arial"/>
                <w:shd w:val="clear" w:color="auto" w:fill="FFFF00"/>
              </w:rPr>
              <w:t>! Reference source not found.A.2.1.</w:t>
            </w:r>
          </w:p>
          <w:p w14:paraId="3BD300E8" w14:textId="77777777" w:rsidR="00C8668F" w:rsidRDefault="00C8668F" w:rsidP="00C8668F">
            <w:pPr>
              <w:rPr>
                <w:rFonts w:cs="Arial"/>
              </w:rPr>
            </w:pPr>
          </w:p>
          <w:p w14:paraId="3BD300E9" w14:textId="77777777" w:rsidR="00C8668F" w:rsidRDefault="00C8668F" w:rsidP="00C8668F">
            <w:pPr>
              <w:rPr>
                <w:rFonts w:cs="Arial"/>
              </w:rPr>
            </w:pPr>
            <w:r>
              <w:rPr>
                <w:rFonts w:cs="Arial"/>
              </w:rPr>
              <w:t>In the above either simply delete “shown in … A.2.1” or replace with “shown in A.2.1”</w:t>
            </w:r>
          </w:p>
          <w:p w14:paraId="3BD300EA" w14:textId="77777777" w:rsidR="00C8668F" w:rsidRPr="00647082" w:rsidRDefault="00C8668F" w:rsidP="00C8668F">
            <w:pPr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EB" w14:textId="77777777" w:rsidR="00507C46" w:rsidRPr="00647082" w:rsidRDefault="00C8668F" w:rsidP="00507C46">
            <w:pPr>
              <w:rPr>
                <w:rFonts w:cs="Arial"/>
              </w:rPr>
            </w:pPr>
            <w:r>
              <w:rPr>
                <w:rFonts w:cs="Arial"/>
              </w:rPr>
              <w:t>Editorial correction for reference error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EC" w14:textId="36062A96" w:rsidR="00507C46" w:rsidRPr="006D16E6" w:rsidRDefault="008A1B4E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0ED" w14:textId="00C04F4D" w:rsidR="00507C46" w:rsidRPr="006D16E6" w:rsidRDefault="00B04F5E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EE" w14:textId="77777777"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14:paraId="3BD300F9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F0" w14:textId="77777777"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F1" w14:textId="77777777" w:rsidR="00507C46" w:rsidRPr="00647082" w:rsidRDefault="006800C9" w:rsidP="0088042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00F0E">
              <w:rPr>
                <w:rFonts w:cs="Arial"/>
              </w:rPr>
              <w:t>Line 558</w:t>
            </w:r>
          </w:p>
        </w:tc>
        <w:tc>
          <w:tcPr>
            <w:tcW w:w="3983" w:type="dxa"/>
          </w:tcPr>
          <w:p w14:paraId="3BD300F2" w14:textId="77777777" w:rsidR="00C53347" w:rsidRDefault="00500F0E" w:rsidP="00C53347">
            <w:pPr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and sends an indication of “No-TN-Validation” to UE-c.</w:t>
            </w:r>
          </w:p>
          <w:p w14:paraId="3BD300F3" w14:textId="77777777" w:rsidR="00500F0E" w:rsidRDefault="00500F0E" w:rsidP="00C53347">
            <w:pPr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>Replace the above with</w:t>
            </w:r>
          </w:p>
          <w:p w14:paraId="3BD300F4" w14:textId="77777777" w:rsidR="00500F0E" w:rsidRPr="00B101A7" w:rsidRDefault="00500F0E" w:rsidP="00C53347">
            <w:r>
              <w:rPr>
                <w:rFonts w:ascii="CIDFont+F1" w:eastAsiaTheme="minorHAnsi" w:hAnsi="CIDFont+F1" w:cs="CIDFont+F1"/>
              </w:rPr>
              <w:lastRenderedPageBreak/>
              <w:t>“and sends no verstat indication to UE-c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F5" w14:textId="77777777" w:rsidR="00507C46" w:rsidRPr="00647082" w:rsidRDefault="00500F0E" w:rsidP="00500F0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“No-TN-Validation” is incorrect since passed validation and to align with ATIS-1000074.v002 baseline “Validation-Passed” is not sent to UE for C </w:t>
            </w:r>
            <w:r>
              <w:rPr>
                <w:rFonts w:cs="Arial"/>
              </w:rPr>
              <w:lastRenderedPageBreak/>
              <w:t>attestation (unless also passing Attestation value to the UE)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0F6" w14:textId="00F566FD" w:rsidR="00507C46" w:rsidRPr="006D16E6" w:rsidRDefault="00794C89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NS</w:t>
            </w:r>
          </w:p>
        </w:tc>
        <w:tc>
          <w:tcPr>
            <w:tcW w:w="450" w:type="dxa"/>
          </w:tcPr>
          <w:p w14:paraId="3BD300F7" w14:textId="38DCCCB7" w:rsidR="00507C46" w:rsidRPr="006D16E6" w:rsidRDefault="006537C8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0F8" w14:textId="77777777"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  <w:tr w:rsidR="00507C46" w14:paraId="3BD3010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BD300FA" w14:textId="77777777" w:rsidR="00507C46" w:rsidRDefault="00507C46" w:rsidP="00507C4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D300FB" w14:textId="77777777" w:rsidR="00507C46" w:rsidRPr="00647082" w:rsidRDefault="00500F0E" w:rsidP="00507C46">
            <w:pPr>
              <w:rPr>
                <w:rFonts w:cs="Arial"/>
              </w:rPr>
            </w:pPr>
            <w:r>
              <w:rPr>
                <w:rFonts w:cs="Arial"/>
              </w:rPr>
              <w:t>Line 566</w:t>
            </w:r>
          </w:p>
        </w:tc>
        <w:tc>
          <w:tcPr>
            <w:tcW w:w="3983" w:type="dxa"/>
          </w:tcPr>
          <w:p w14:paraId="3BD300FC" w14:textId="77777777" w:rsidR="00512292" w:rsidRDefault="00500F0E" w:rsidP="00CD53DC">
            <w:pPr>
              <w:jc w:val="left"/>
              <w:rPr>
                <w:rFonts w:ascii="CIDFont+F1" w:eastAsiaTheme="minorHAnsi" w:hAnsi="CIDFont+F1" w:cs="CIDFont+F1"/>
              </w:rPr>
            </w:pPr>
            <w:r>
              <w:rPr>
                <w:rFonts w:ascii="CIDFont+F1" w:eastAsiaTheme="minorHAnsi" w:hAnsi="CIDFont+F1" w:cs="CIDFont+F1"/>
              </w:rPr>
              <w:t xml:space="preserve">provides a SHAKEN Identity header </w:t>
            </w:r>
            <w:r w:rsidRPr="00605B8D">
              <w:rPr>
                <w:rFonts w:ascii="CIDFont+F1" w:eastAsiaTheme="minorHAnsi" w:hAnsi="CIDFont+F1" w:cs="CIDFont+F1"/>
                <w:shd w:val="clear" w:color="auto" w:fill="FFFF00"/>
              </w:rPr>
              <w:t>authenticating</w:t>
            </w:r>
            <w:r>
              <w:rPr>
                <w:rFonts w:ascii="CIDFont+F1" w:eastAsiaTheme="minorHAnsi" w:hAnsi="CIDFont+F1" w:cs="CIDFont+F1"/>
              </w:rPr>
              <w:t xml:space="preserve"> TN-a</w:t>
            </w:r>
          </w:p>
          <w:p w14:paraId="3BD300FD" w14:textId="77777777" w:rsidR="00605B8D" w:rsidRDefault="00605B8D" w:rsidP="00CD53DC">
            <w:pPr>
              <w:jc w:val="left"/>
              <w:rPr>
                <w:rFonts w:cs="Arial"/>
              </w:rPr>
            </w:pPr>
          </w:p>
          <w:p w14:paraId="3BD300FE" w14:textId="77777777" w:rsidR="00605B8D" w:rsidRPr="00647082" w:rsidRDefault="00605B8D" w:rsidP="00CD53D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In the above replace “authenticating” with “with Gateway Attestation for”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D300FF" w14:textId="77777777" w:rsidR="00507C46" w:rsidRPr="00647082" w:rsidRDefault="00605B8D" w:rsidP="00507C46">
            <w:pPr>
              <w:rPr>
                <w:rFonts w:cs="Arial"/>
              </w:rPr>
            </w:pPr>
            <w:r>
              <w:rPr>
                <w:rFonts w:cs="Arial"/>
              </w:rPr>
              <w:t>Editorial clarification of attestation level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D30100" w14:textId="4CEECE4A" w:rsidR="00507C46" w:rsidRPr="006D16E6" w:rsidRDefault="006537C8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BD30101" w14:textId="006CDE41" w:rsidR="00507C46" w:rsidRPr="006D16E6" w:rsidRDefault="006537C8" w:rsidP="005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BD30102" w14:textId="77777777" w:rsidR="00507C46" w:rsidRPr="006D16E6" w:rsidRDefault="00507C46" w:rsidP="00507C46">
            <w:pPr>
              <w:rPr>
                <w:sz w:val="22"/>
                <w:szCs w:val="22"/>
              </w:rPr>
            </w:pPr>
          </w:p>
        </w:tc>
      </w:tr>
    </w:tbl>
    <w:p w14:paraId="3BD30104" w14:textId="77777777" w:rsidR="008424A0" w:rsidRPr="008424A0" w:rsidRDefault="008424A0" w:rsidP="008424A0"/>
    <w:p w14:paraId="3BD3010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3BD30106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0109" w14:textId="77777777" w:rsidR="00341BAC" w:rsidRDefault="00341BAC" w:rsidP="008424A0">
      <w:pPr>
        <w:spacing w:before="0" w:after="0"/>
      </w:pPr>
      <w:r>
        <w:separator/>
      </w:r>
    </w:p>
  </w:endnote>
  <w:endnote w:type="continuationSeparator" w:id="0">
    <w:p w14:paraId="3BD3010A" w14:textId="77777777" w:rsidR="00341BAC" w:rsidRDefault="00341BAC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3010C" w14:textId="77777777" w:rsidR="00605B8D" w:rsidRDefault="00605B8D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0107" w14:textId="77777777" w:rsidR="00341BAC" w:rsidRDefault="00341BAC" w:rsidP="008424A0">
      <w:pPr>
        <w:spacing w:before="0" w:after="0"/>
      </w:pPr>
      <w:r>
        <w:separator/>
      </w:r>
    </w:p>
  </w:footnote>
  <w:footnote w:type="continuationSeparator" w:id="0">
    <w:p w14:paraId="3BD30108" w14:textId="77777777" w:rsidR="00341BAC" w:rsidRDefault="00341BAC" w:rsidP="008424A0">
      <w:pPr>
        <w:spacing w:before="0" w:after="0"/>
      </w:pPr>
      <w:r>
        <w:continuationSeparator/>
      </w:r>
    </w:p>
  </w:footnote>
  <w:footnote w:id="1">
    <w:p w14:paraId="3BD3010D" w14:textId="77777777" w:rsidR="00605B8D" w:rsidRDefault="00605B8D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3BD3010E" w14:textId="77777777" w:rsidR="00605B8D" w:rsidRDefault="00605B8D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010B" w14:textId="77777777" w:rsidR="00605B8D" w:rsidRPr="006D16E6" w:rsidRDefault="00605B8D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BC282B"/>
    <w:multiLevelType w:val="hybridMultilevel"/>
    <w:tmpl w:val="552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8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6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2"/>
  </w:num>
  <w:num w:numId="34">
    <w:abstractNumId w:val="25"/>
  </w:num>
  <w:num w:numId="35">
    <w:abstractNumId w:val="19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6"/>
  </w:num>
  <w:num w:numId="41">
    <w:abstractNumId w:val="18"/>
  </w:num>
  <w:num w:numId="42">
    <w:abstractNumId w:val="14"/>
  </w:num>
  <w:num w:numId="43">
    <w:abstractNumId w:val="24"/>
  </w:num>
  <w:num w:numId="44">
    <w:abstractNumId w:val="13"/>
  </w:num>
  <w:num w:numId="45">
    <w:abstractNumId w:val="27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07686"/>
    <w:rsid w:val="000151D3"/>
    <w:rsid w:val="0002103E"/>
    <w:rsid w:val="0005277F"/>
    <w:rsid w:val="0006311F"/>
    <w:rsid w:val="00063727"/>
    <w:rsid w:val="000A0FE3"/>
    <w:rsid w:val="000A3295"/>
    <w:rsid w:val="000A6525"/>
    <w:rsid w:val="000E055F"/>
    <w:rsid w:val="000F16F5"/>
    <w:rsid w:val="00126BBE"/>
    <w:rsid w:val="001574E2"/>
    <w:rsid w:val="00176CAC"/>
    <w:rsid w:val="001916C5"/>
    <w:rsid w:val="001A6DDE"/>
    <w:rsid w:val="001A7B35"/>
    <w:rsid w:val="001B2AE8"/>
    <w:rsid w:val="001D323F"/>
    <w:rsid w:val="001D542F"/>
    <w:rsid w:val="001E27D6"/>
    <w:rsid w:val="001F1F31"/>
    <w:rsid w:val="002330F5"/>
    <w:rsid w:val="00233FC6"/>
    <w:rsid w:val="00242E46"/>
    <w:rsid w:val="002435EA"/>
    <w:rsid w:val="00244F48"/>
    <w:rsid w:val="00260D31"/>
    <w:rsid w:val="002802C5"/>
    <w:rsid w:val="00282B10"/>
    <w:rsid w:val="002C4E95"/>
    <w:rsid w:val="002E43B7"/>
    <w:rsid w:val="002F2983"/>
    <w:rsid w:val="00311D7B"/>
    <w:rsid w:val="00330EFB"/>
    <w:rsid w:val="00341BAC"/>
    <w:rsid w:val="00345450"/>
    <w:rsid w:val="00370CC5"/>
    <w:rsid w:val="0038155D"/>
    <w:rsid w:val="003B4C26"/>
    <w:rsid w:val="003C01DE"/>
    <w:rsid w:val="003D7141"/>
    <w:rsid w:val="003E19E2"/>
    <w:rsid w:val="00430FB6"/>
    <w:rsid w:val="00443476"/>
    <w:rsid w:val="004A4DD5"/>
    <w:rsid w:val="004C4F12"/>
    <w:rsid w:val="004D5F9C"/>
    <w:rsid w:val="004F7BD2"/>
    <w:rsid w:val="00500F0E"/>
    <w:rsid w:val="00507C46"/>
    <w:rsid w:val="00512292"/>
    <w:rsid w:val="00536544"/>
    <w:rsid w:val="005518C7"/>
    <w:rsid w:val="005605D6"/>
    <w:rsid w:val="005A40AC"/>
    <w:rsid w:val="005D59B6"/>
    <w:rsid w:val="005E0355"/>
    <w:rsid w:val="00604B95"/>
    <w:rsid w:val="00605B8D"/>
    <w:rsid w:val="00607168"/>
    <w:rsid w:val="0063758C"/>
    <w:rsid w:val="00647082"/>
    <w:rsid w:val="00651421"/>
    <w:rsid w:val="006537C8"/>
    <w:rsid w:val="006635EB"/>
    <w:rsid w:val="00671140"/>
    <w:rsid w:val="006800C9"/>
    <w:rsid w:val="006941C8"/>
    <w:rsid w:val="006B29A8"/>
    <w:rsid w:val="006C0680"/>
    <w:rsid w:val="006D16E6"/>
    <w:rsid w:val="006E3EAA"/>
    <w:rsid w:val="006E7C04"/>
    <w:rsid w:val="00705B62"/>
    <w:rsid w:val="0075294D"/>
    <w:rsid w:val="00794C89"/>
    <w:rsid w:val="0079519B"/>
    <w:rsid w:val="007A566E"/>
    <w:rsid w:val="007C0ACF"/>
    <w:rsid w:val="007D5FB3"/>
    <w:rsid w:val="007F1795"/>
    <w:rsid w:val="008217AB"/>
    <w:rsid w:val="008256A1"/>
    <w:rsid w:val="00835BDB"/>
    <w:rsid w:val="00841C41"/>
    <w:rsid w:val="008424A0"/>
    <w:rsid w:val="00854E98"/>
    <w:rsid w:val="00857C1B"/>
    <w:rsid w:val="00880424"/>
    <w:rsid w:val="008A1B4E"/>
    <w:rsid w:val="008C3F91"/>
    <w:rsid w:val="008C75BB"/>
    <w:rsid w:val="008D7DC6"/>
    <w:rsid w:val="009026E7"/>
    <w:rsid w:val="009072B8"/>
    <w:rsid w:val="0090736B"/>
    <w:rsid w:val="00915B59"/>
    <w:rsid w:val="0092023C"/>
    <w:rsid w:val="00921094"/>
    <w:rsid w:val="00953A4E"/>
    <w:rsid w:val="009550E3"/>
    <w:rsid w:val="00971F27"/>
    <w:rsid w:val="00975237"/>
    <w:rsid w:val="00977DCF"/>
    <w:rsid w:val="00992D9F"/>
    <w:rsid w:val="00995529"/>
    <w:rsid w:val="00997F71"/>
    <w:rsid w:val="009B1A3A"/>
    <w:rsid w:val="009B7D50"/>
    <w:rsid w:val="009D09AE"/>
    <w:rsid w:val="009D448B"/>
    <w:rsid w:val="009D7B09"/>
    <w:rsid w:val="009F2185"/>
    <w:rsid w:val="00A15801"/>
    <w:rsid w:val="00A237EB"/>
    <w:rsid w:val="00A24A87"/>
    <w:rsid w:val="00A52EE8"/>
    <w:rsid w:val="00A66DB7"/>
    <w:rsid w:val="00A90FAD"/>
    <w:rsid w:val="00A929DE"/>
    <w:rsid w:val="00A96D73"/>
    <w:rsid w:val="00AA7A7A"/>
    <w:rsid w:val="00AB49A8"/>
    <w:rsid w:val="00AE4025"/>
    <w:rsid w:val="00B04F5E"/>
    <w:rsid w:val="00B101A7"/>
    <w:rsid w:val="00B11A88"/>
    <w:rsid w:val="00B2186B"/>
    <w:rsid w:val="00B62903"/>
    <w:rsid w:val="00B70B89"/>
    <w:rsid w:val="00B85C4E"/>
    <w:rsid w:val="00BB3B06"/>
    <w:rsid w:val="00BF13A6"/>
    <w:rsid w:val="00BF5ABF"/>
    <w:rsid w:val="00C03B50"/>
    <w:rsid w:val="00C13BE4"/>
    <w:rsid w:val="00C216A4"/>
    <w:rsid w:val="00C2431D"/>
    <w:rsid w:val="00C31FF2"/>
    <w:rsid w:val="00C352F7"/>
    <w:rsid w:val="00C44F28"/>
    <w:rsid w:val="00C45D0E"/>
    <w:rsid w:val="00C47F02"/>
    <w:rsid w:val="00C53347"/>
    <w:rsid w:val="00C55012"/>
    <w:rsid w:val="00C73FCF"/>
    <w:rsid w:val="00C75322"/>
    <w:rsid w:val="00C8668F"/>
    <w:rsid w:val="00C95007"/>
    <w:rsid w:val="00CA4C1B"/>
    <w:rsid w:val="00CD446B"/>
    <w:rsid w:val="00CD53DC"/>
    <w:rsid w:val="00CE79ED"/>
    <w:rsid w:val="00CF1E7A"/>
    <w:rsid w:val="00D221E8"/>
    <w:rsid w:val="00D24A07"/>
    <w:rsid w:val="00D27519"/>
    <w:rsid w:val="00D27C08"/>
    <w:rsid w:val="00D35E0A"/>
    <w:rsid w:val="00D365BD"/>
    <w:rsid w:val="00D4468D"/>
    <w:rsid w:val="00D63D86"/>
    <w:rsid w:val="00D8215A"/>
    <w:rsid w:val="00D9503E"/>
    <w:rsid w:val="00DE2304"/>
    <w:rsid w:val="00DF31D9"/>
    <w:rsid w:val="00DF463C"/>
    <w:rsid w:val="00E0551C"/>
    <w:rsid w:val="00E31C01"/>
    <w:rsid w:val="00E37A2A"/>
    <w:rsid w:val="00ED7B0B"/>
    <w:rsid w:val="00EF4A97"/>
    <w:rsid w:val="00F55F6D"/>
    <w:rsid w:val="00F60402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30064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2C67D-1576-435A-B87A-0E32CCF54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88BBA-2844-476A-ACC4-F2A97C487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1B216-4C97-4B9C-A660-56E642F61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939A4-E2AD-4800-B008-E770E5ED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27</cp:revision>
  <cp:lastPrinted>2015-02-04T18:26:00Z</cp:lastPrinted>
  <dcterms:created xsi:type="dcterms:W3CDTF">2020-07-08T21:23:00Z</dcterms:created>
  <dcterms:modified xsi:type="dcterms:W3CDTF">2020-08-12T17:53:00Z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