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A5EEFC5" w14:textId="77777777" w:rsidTr="006D16E6">
        <w:trPr>
          <w:trHeight w:val="1134"/>
        </w:trPr>
        <w:tc>
          <w:tcPr>
            <w:tcW w:w="14220" w:type="dxa"/>
          </w:tcPr>
          <w:p w14:paraId="528F33A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ABD4723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7211B2E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C1C798B" w14:textId="75D8541E" w:rsidR="00FB79F5" w:rsidRPr="00FF154F" w:rsidRDefault="00FB79F5" w:rsidP="00FB79F5">
      <w:pPr>
        <w:pStyle w:val="Heading2"/>
        <w:numPr>
          <w:ilvl w:val="0"/>
          <w:numId w:val="0"/>
        </w:numPr>
        <w:ind w:left="576" w:hanging="576"/>
        <w:rPr>
          <w:b w:val="0"/>
          <w:i w:val="0"/>
          <w:sz w:val="20"/>
        </w:rPr>
      </w:pPr>
      <w:r w:rsidRPr="00FF154F">
        <w:t xml:space="preserve">Letter Ballot: </w:t>
      </w:r>
      <w:r w:rsidR="00C31FF2" w:rsidRPr="00FF154F">
        <w:t xml:space="preserve"> </w:t>
      </w:r>
      <w:r w:rsidR="00840479" w:rsidRPr="00FF154F">
        <w:t>PTSC-LB-2</w:t>
      </w:r>
      <w:r w:rsidR="00FF154F" w:rsidRPr="00FF154F">
        <w:t>5</w:t>
      </w:r>
      <w:r w:rsidR="00B70888">
        <w:t>1</w:t>
      </w:r>
      <w:r w:rsidR="00F305A5" w:rsidRPr="00FF154F">
        <w:t xml:space="preserve"> (</w:t>
      </w:r>
      <w:r w:rsidR="00FF154F" w:rsidRPr="00FF154F">
        <w:rPr>
          <w:szCs w:val="18"/>
        </w:rPr>
        <w:t>PTSC-2020-000</w:t>
      </w:r>
      <w:r w:rsidR="00A753E7">
        <w:rPr>
          <w:szCs w:val="18"/>
        </w:rPr>
        <w:t>79</w:t>
      </w:r>
      <w:r w:rsidR="00FF154F" w:rsidRPr="00FF154F">
        <w:rPr>
          <w:szCs w:val="18"/>
        </w:rPr>
        <w:t>R000</w:t>
      </w:r>
      <w:r w:rsidR="00FE1603" w:rsidRPr="00FF154F">
        <w:t>)</w:t>
      </w:r>
      <w:r w:rsidR="00FE1603" w:rsidRPr="00FF154F">
        <w:rPr>
          <w:b w:val="0"/>
          <w:i w:val="0"/>
          <w:sz w:val="20"/>
        </w:rPr>
        <w:t xml:space="preserve"> </w:t>
      </w:r>
    </w:p>
    <w:p w14:paraId="1B6FAE6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97"/>
        <w:gridCol w:w="3443"/>
        <w:gridCol w:w="3780"/>
        <w:gridCol w:w="450"/>
        <w:gridCol w:w="450"/>
        <w:gridCol w:w="4377"/>
      </w:tblGrid>
      <w:tr w:rsidR="00C216A4" w14:paraId="17F46117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68358DA" w14:textId="0FD6E087" w:rsidR="00C216A4" w:rsidRPr="00C216A4" w:rsidRDefault="00C216A4" w:rsidP="00FE1603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FE1603">
              <w:rPr>
                <w:b/>
              </w:rPr>
              <w:t>Neustar</w:t>
            </w:r>
          </w:p>
        </w:tc>
      </w:tr>
      <w:tr w:rsidR="00A90FAD" w14:paraId="7BDCD92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3D642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3914B8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0D9B263" w14:textId="77777777" w:rsidTr="00D61834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283357C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5EA7B62E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443" w:type="dxa"/>
            <w:shd w:val="clear" w:color="auto" w:fill="FDE9D9" w:themeFill="accent6" w:themeFillTint="33"/>
          </w:tcPr>
          <w:p w14:paraId="6304DE46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4CCFFBEB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2005410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41A5E705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49C724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14:paraId="2E13E320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3A5CFD3D" w14:textId="1AC85CA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1C6BE4E7" w14:textId="3ADA5E90" w:rsidR="00C31FF2" w:rsidRPr="006D16E6" w:rsidRDefault="00B70888" w:rsidP="00AB0D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</w:t>
            </w:r>
          </w:p>
        </w:tc>
        <w:tc>
          <w:tcPr>
            <w:tcW w:w="3443" w:type="dxa"/>
          </w:tcPr>
          <w:p w14:paraId="7239404A" w14:textId="5BF76F25" w:rsidR="00C31FF2" w:rsidRPr="006D16E6" w:rsidRDefault="00B70888" w:rsidP="00AB0D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“short Date”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96456F0" w14:textId="7101051C" w:rsidR="00C31FF2" w:rsidRPr="006D16E6" w:rsidRDefault="00B70888" w:rsidP="00AB0D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“short time”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967F900" w14:textId="4685C121" w:rsidR="00C31FF2" w:rsidRPr="006D16E6" w:rsidRDefault="00A84708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4C8373C" w14:textId="144EF98A" w:rsidR="00C31FF2" w:rsidRPr="006D16E6" w:rsidRDefault="00A84708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FBE883" w14:textId="4D790C08" w:rsidR="00C31FF2" w:rsidRPr="00A21288" w:rsidRDefault="00C31FF2" w:rsidP="00C31FF2">
            <w:pPr>
              <w:rPr>
                <w:color w:val="0000FF"/>
                <w:sz w:val="22"/>
                <w:szCs w:val="22"/>
              </w:rPr>
            </w:pPr>
          </w:p>
        </w:tc>
      </w:tr>
      <w:tr w:rsidR="007454E4" w14:paraId="7ED857F5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4DE0946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25167229" w14:textId="41357555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31</w:t>
            </w:r>
          </w:p>
        </w:tc>
        <w:tc>
          <w:tcPr>
            <w:tcW w:w="3443" w:type="dxa"/>
          </w:tcPr>
          <w:p w14:paraId="69265D6B" w14:textId="3C141680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“support”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FDAB97E" w14:textId="1CA3AECB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“to add </w:t>
            </w:r>
            <w:proofErr w:type="gramStart"/>
            <w:r>
              <w:rPr>
                <w:sz w:val="22"/>
                <w:szCs w:val="22"/>
              </w:rPr>
              <w:t>…[</w:t>
            </w:r>
            <w:proofErr w:type="gramEnd"/>
            <w:r>
              <w:rPr>
                <w:sz w:val="22"/>
                <w:szCs w:val="22"/>
              </w:rPr>
              <w:t>Ref 4] support”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50B1EFF" w14:textId="598DB409" w:rsidR="007454E4" w:rsidRPr="006D16E6" w:rsidRDefault="006163AA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16B0D8CF" w14:textId="2C409011" w:rsidR="007454E4" w:rsidRPr="006D16E6" w:rsidRDefault="006163AA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197A2B35" w14:textId="03193377" w:rsidR="007454E4" w:rsidRPr="00A21288" w:rsidRDefault="006163AA" w:rsidP="007454E4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Already addressed in Charter comments</w:t>
            </w:r>
          </w:p>
        </w:tc>
      </w:tr>
      <w:tr w:rsidR="007454E4" w14:paraId="5E4F0259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322E2AE9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3030F314" w14:textId="0B55A290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84-85</w:t>
            </w:r>
          </w:p>
        </w:tc>
        <w:tc>
          <w:tcPr>
            <w:tcW w:w="3443" w:type="dxa"/>
          </w:tcPr>
          <w:p w14:paraId="60EA1636" w14:textId="6343BE37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“telephone destinations”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F630E8E" w14:textId="6DBFF22B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“TN destination”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6321781" w14:textId="5E4E0DB1" w:rsidR="007454E4" w:rsidRPr="006D16E6" w:rsidRDefault="001757F9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2ABC995D" w14:textId="73702580" w:rsidR="007454E4" w:rsidRPr="006D16E6" w:rsidRDefault="001757F9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20545509" w14:textId="77777777" w:rsidR="007454E4" w:rsidRPr="00A21288" w:rsidRDefault="007454E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7454E4" w14:paraId="1E45DD15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2D8B5BF5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56539C52" w14:textId="6BEA9E6C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144</w:t>
            </w:r>
          </w:p>
        </w:tc>
        <w:tc>
          <w:tcPr>
            <w:tcW w:w="3443" w:type="dxa"/>
          </w:tcPr>
          <w:p w14:paraId="60A0D938" w14:textId="1D47388D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“of”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5BA149C" w14:textId="5A8B0E35" w:rsidR="007454E4" w:rsidRDefault="009F5D83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</w:t>
            </w:r>
            <w:r w:rsidR="00C77C4A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“claim of type “</w:t>
            </w:r>
            <w:proofErr w:type="spellStart"/>
            <w:r>
              <w:rPr>
                <w:sz w:val="22"/>
                <w:szCs w:val="22"/>
              </w:rPr>
              <w:t>uri</w:t>
            </w:r>
            <w:proofErr w:type="spellEnd"/>
            <w:r>
              <w:rPr>
                <w:sz w:val="22"/>
                <w:szCs w:val="22"/>
              </w:rPr>
              <w:t>””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EB5614B" w14:textId="3356219B" w:rsidR="007454E4" w:rsidRPr="006D16E6" w:rsidRDefault="002C7DB6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2F622BB3" w14:textId="0A54168C" w:rsidR="007454E4" w:rsidRPr="006D16E6" w:rsidRDefault="002C7DB6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433475E" w14:textId="77777777" w:rsidR="007454E4" w:rsidRPr="00A21288" w:rsidRDefault="007454E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7454E4" w14:paraId="1F937CF0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4130CFE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9E6176E" w14:textId="262CDB3C" w:rsidR="007454E4" w:rsidRDefault="00CB3E3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302</w:t>
            </w:r>
          </w:p>
        </w:tc>
        <w:tc>
          <w:tcPr>
            <w:tcW w:w="3443" w:type="dxa"/>
          </w:tcPr>
          <w:p w14:paraId="3B1DC8C7" w14:textId="7F742E8E" w:rsidR="007454E4" w:rsidRDefault="00CB3E3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comma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0AC50C4" w14:textId="309CF78A" w:rsidR="007454E4" w:rsidRDefault="00CB3E3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</w:t>
            </w:r>
            <w:r w:rsidR="00C77C4A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“… value of the request if the …”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DA313D7" w14:textId="61E1DEA3" w:rsidR="007454E4" w:rsidRPr="006D16E6" w:rsidRDefault="00692551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243D187E" w14:textId="312704F5" w:rsidR="007454E4" w:rsidRPr="006D16E6" w:rsidRDefault="00692551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56E162AD" w14:textId="77777777" w:rsidR="007454E4" w:rsidRPr="00A21288" w:rsidRDefault="007454E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7454E4" w14:paraId="2AE9C4E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21A02B6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3AE6AA27" w14:textId="781ADC66" w:rsidR="007454E4" w:rsidRDefault="00DF719B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326</w:t>
            </w:r>
          </w:p>
        </w:tc>
        <w:tc>
          <w:tcPr>
            <w:tcW w:w="3443" w:type="dxa"/>
          </w:tcPr>
          <w:p w14:paraId="3E1A7030" w14:textId="4079CED5" w:rsidR="007454E4" w:rsidRDefault="00DF719B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period at end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74EC000" w14:textId="33A341A0" w:rsidR="007454E4" w:rsidRDefault="00DF719B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“telephone number.”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3287C51" w14:textId="74E807AA" w:rsidR="007454E4" w:rsidRPr="006D16E6" w:rsidRDefault="00966BCD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033611BC" w14:textId="047AF395" w:rsidR="007454E4" w:rsidRPr="006D16E6" w:rsidRDefault="00966BCD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4C5318C3" w14:textId="77777777" w:rsidR="007454E4" w:rsidRPr="00A21288" w:rsidRDefault="007454E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7454E4" w14:paraId="3F475756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66F4CD0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56E2AEF6" w14:textId="06142989" w:rsidR="007454E4" w:rsidRDefault="00A2578C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392</w:t>
            </w:r>
          </w:p>
        </w:tc>
        <w:tc>
          <w:tcPr>
            <w:tcW w:w="3443" w:type="dxa"/>
          </w:tcPr>
          <w:p w14:paraId="515F06AE" w14:textId="352B7C01" w:rsidR="007454E4" w:rsidRDefault="00A2578C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comma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5902FF4" w14:textId="6F882B59" w:rsidR="007454E4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to </w:t>
            </w:r>
            <w:r w:rsidR="00A2578C">
              <w:rPr>
                <w:sz w:val="22"/>
                <w:szCs w:val="22"/>
              </w:rPr>
              <w:t>“PASSporT in [5] …”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78C8F50" w14:textId="3ED1F942" w:rsidR="007454E4" w:rsidRPr="006D16E6" w:rsidRDefault="00966BCD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7662CA93" w14:textId="18543F68" w:rsidR="007454E4" w:rsidRPr="006D16E6" w:rsidRDefault="00966BCD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4702536D" w14:textId="77777777" w:rsidR="007454E4" w:rsidRPr="00A21288" w:rsidRDefault="007454E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7454E4" w14:paraId="292A360B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2F737662" w14:textId="77777777" w:rsidR="007454E4" w:rsidRDefault="007454E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B914A37" w14:textId="1E90D46C" w:rsidR="007454E4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458</w:t>
            </w:r>
          </w:p>
        </w:tc>
        <w:tc>
          <w:tcPr>
            <w:tcW w:w="3443" w:type="dxa"/>
          </w:tcPr>
          <w:p w14:paraId="0FD91E2A" w14:textId="6FC54809" w:rsidR="007454E4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“with”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766E03E" w14:textId="3FC74B0F" w:rsidR="007454E4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“…INVITE, and a Diversion…”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0B559BA" w14:textId="76993D9A" w:rsidR="007454E4" w:rsidRPr="006D16E6" w:rsidRDefault="00966BCD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28401F0C" w14:textId="2699F8F1" w:rsidR="007454E4" w:rsidRPr="006D16E6" w:rsidRDefault="00C566F9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EF3C71B" w14:textId="77777777" w:rsidR="007454E4" w:rsidRPr="00A21288" w:rsidRDefault="007454E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503BE8" w14:paraId="31F5F9C2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C510FAD" w14:textId="77777777" w:rsidR="00503BE8" w:rsidRDefault="00503BE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CD32DEC" w14:textId="01FAAFD6" w:rsidR="00503BE8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Lines 532-533</w:t>
            </w:r>
          </w:p>
        </w:tc>
        <w:tc>
          <w:tcPr>
            <w:tcW w:w="3443" w:type="dxa"/>
          </w:tcPr>
          <w:p w14:paraId="7C959AE9" w14:textId="18AB8E29" w:rsidR="00503BE8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error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264D74E" w14:textId="2F3CE4AB" w:rsidR="00503BE8" w:rsidRDefault="00F0424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reference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1A48C26" w14:textId="3E3B9E2C" w:rsidR="00503BE8" w:rsidRPr="006D16E6" w:rsidRDefault="00C566F9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0A16C36" w14:textId="102FD02F" w:rsidR="00503BE8" w:rsidRPr="006D16E6" w:rsidRDefault="00C566F9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2BC14EBA" w14:textId="6845CEED" w:rsidR="00503BE8" w:rsidRPr="00A21288" w:rsidRDefault="00C566F9" w:rsidP="007454E4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already addressed in Charter comments</w:t>
            </w:r>
          </w:p>
        </w:tc>
      </w:tr>
      <w:tr w:rsidR="00503BE8" w14:paraId="79EE4B3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21A2A40" w14:textId="77777777" w:rsidR="00503BE8" w:rsidRDefault="00503BE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0D377BF" w14:textId="467A40BB" w:rsidR="00503BE8" w:rsidRDefault="00F0424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570</w:t>
            </w:r>
          </w:p>
        </w:tc>
        <w:tc>
          <w:tcPr>
            <w:tcW w:w="3443" w:type="dxa"/>
          </w:tcPr>
          <w:p w14:paraId="0BA5B176" w14:textId="7CA5894D" w:rsidR="00503BE8" w:rsidRDefault="00F0424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period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E95A287" w14:textId="2B1B8C70" w:rsidR="00503BE8" w:rsidRDefault="00F0424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“SIP-PBX-1.”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90AC0" w14:textId="727402AC" w:rsidR="00503BE8" w:rsidRPr="006D16E6" w:rsidRDefault="007F028C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0D6E75BE" w14:textId="679766D6" w:rsidR="00503BE8" w:rsidRPr="006D16E6" w:rsidRDefault="007F028C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1A7B597" w14:textId="77777777" w:rsidR="00503BE8" w:rsidRPr="00A21288" w:rsidRDefault="00503BE8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F5E6C" w14:paraId="4A19124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319A56C0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8FED8DF" w14:textId="27F318D7" w:rsidR="002F5E6C" w:rsidRDefault="00CA2B8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714</w:t>
            </w:r>
          </w:p>
        </w:tc>
        <w:tc>
          <w:tcPr>
            <w:tcW w:w="3443" w:type="dxa"/>
          </w:tcPr>
          <w:p w14:paraId="33D2A3AD" w14:textId="2BBD5442" w:rsidR="002F5E6C" w:rsidRDefault="0095078B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 Diversion header added in SP-b INVITE to SP-c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2DDF452" w14:textId="025E9349" w:rsidR="002F5E6C" w:rsidRDefault="00CA2B8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Since this added header is not part of the example, suggest clarifying its insertion (e.g., as recommended by RFC 5806?).  Or, perhaps remove.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7F2CAC7" w14:textId="1BD53F45" w:rsidR="002F5E6C" w:rsidRPr="006D16E6" w:rsidRDefault="002A5B0A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0859F7BB" w14:textId="5B298E41" w:rsidR="002F5E6C" w:rsidRPr="006D16E6" w:rsidRDefault="00BF4AF6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377" w:type="dxa"/>
          </w:tcPr>
          <w:p w14:paraId="7E8186B0" w14:textId="7744A463" w:rsidR="002F5E6C" w:rsidRPr="00A21288" w:rsidRDefault="00CF649A" w:rsidP="007454E4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To be addressed </w:t>
            </w:r>
            <w:r w:rsidR="00E96C74">
              <w:rPr>
                <w:color w:val="0000FF"/>
                <w:sz w:val="22"/>
                <w:szCs w:val="22"/>
              </w:rPr>
              <w:t xml:space="preserve">in </w:t>
            </w:r>
            <w:r w:rsidR="004456E3">
              <w:rPr>
                <w:color w:val="0000FF"/>
                <w:sz w:val="22"/>
                <w:szCs w:val="22"/>
              </w:rPr>
              <w:t xml:space="preserve">subsequent </w:t>
            </w:r>
            <w:r>
              <w:rPr>
                <w:color w:val="0000FF"/>
                <w:sz w:val="22"/>
                <w:szCs w:val="22"/>
              </w:rPr>
              <w:t>default LB</w:t>
            </w:r>
          </w:p>
        </w:tc>
      </w:tr>
      <w:tr w:rsidR="002F5E6C" w14:paraId="3532004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4AF49929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24A498E8" w14:textId="625F5350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14:paraId="598ABC0B" w14:textId="37A8D0CE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A5CE1F1" w14:textId="23ACCFB3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8549C44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0FB9BA6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F8ED298" w14:textId="77777777" w:rsidR="002F5E6C" w:rsidRPr="00A21288" w:rsidRDefault="002F5E6C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F5E6C" w14:paraId="7EE8CF7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7CF9693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1D04CE2" w14:textId="09BC4BDA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14:paraId="6F225EE1" w14:textId="306E122E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9EC358" w14:textId="7E0C1427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9B8C623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095E4EA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17BA154" w14:textId="77777777" w:rsidR="002F5E6C" w:rsidRPr="00A21288" w:rsidRDefault="002F5E6C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F5E6C" w14:paraId="6DF7F052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D38E122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A21AD64" w14:textId="18DD9747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14:paraId="2905BF94" w14:textId="5286CFC5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C9359F8" w14:textId="17B69535" w:rsidR="002F5E6C" w:rsidRDefault="002F5E6C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BEF6AB1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4ADCDBD8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5EADB9E" w14:textId="77777777" w:rsidR="002F5E6C" w:rsidRPr="00A21288" w:rsidRDefault="002F5E6C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411194" w14:paraId="0BDAF7E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ECD6E0C" w14:textId="77777777" w:rsidR="00411194" w:rsidRDefault="0041119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A039B87" w14:textId="4EFAB4D0" w:rsidR="00411194" w:rsidRDefault="00411194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14:paraId="4772435D" w14:textId="345C2B6D" w:rsidR="00411194" w:rsidRDefault="00411194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58F1EE8" w14:textId="0801490D" w:rsidR="00411194" w:rsidRDefault="00411194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EA14EC5" w14:textId="77777777" w:rsidR="00411194" w:rsidRPr="006D16E6" w:rsidRDefault="00411194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D57C703" w14:textId="77777777" w:rsidR="00411194" w:rsidRPr="006D16E6" w:rsidRDefault="0041119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B7AAA0F" w14:textId="77777777" w:rsidR="00411194" w:rsidRPr="00A21288" w:rsidRDefault="0041119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EB0736" w14:paraId="5C5805D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3C462166" w14:textId="77777777" w:rsidR="00EB0736" w:rsidRDefault="00EB0736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97C27C2" w14:textId="50B79E71" w:rsidR="00EB0736" w:rsidRDefault="00EB0736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14:paraId="5B0E3848" w14:textId="66A7DC34" w:rsidR="00EB0736" w:rsidRDefault="00EB0736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B921732" w14:textId="02F75C98" w:rsidR="00EB0736" w:rsidRDefault="00EB0736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E90A85D" w14:textId="77777777" w:rsidR="00EB0736" w:rsidRPr="006D16E6" w:rsidRDefault="00EB0736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4E97D166" w14:textId="77777777" w:rsidR="00EB0736" w:rsidRPr="006D16E6" w:rsidRDefault="00EB0736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1491930" w14:textId="77777777" w:rsidR="00EB0736" w:rsidRPr="00A21288" w:rsidRDefault="00EB0736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EB0736" w14:paraId="7D7C57B8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6491A85" w14:textId="77777777" w:rsidR="00EB0736" w:rsidRDefault="00EB0736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D8B2B66" w14:textId="7AF478CA" w:rsidR="00EB0736" w:rsidRDefault="00EB0736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14:paraId="2F0C9BAF" w14:textId="361C68FD" w:rsidR="00EB0736" w:rsidRDefault="00EB0736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1BD41D3" w14:textId="2F4646F1" w:rsidR="00EB0736" w:rsidRDefault="00EB0736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492E670" w14:textId="77777777" w:rsidR="00EB0736" w:rsidRPr="006D16E6" w:rsidRDefault="00EB0736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29F25AA" w14:textId="77777777" w:rsidR="00EB0736" w:rsidRPr="006D16E6" w:rsidRDefault="00EB0736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E74AF78" w14:textId="77777777" w:rsidR="00EB0736" w:rsidRPr="00A21288" w:rsidRDefault="00EB0736" w:rsidP="007454E4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712FA004" w14:textId="77777777" w:rsidR="008424A0" w:rsidRPr="008424A0" w:rsidRDefault="008424A0" w:rsidP="008424A0"/>
    <w:p w14:paraId="4B1A9E1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72F635E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816A" w14:textId="77777777" w:rsidR="00E863D0" w:rsidRDefault="00E863D0" w:rsidP="008424A0">
      <w:pPr>
        <w:spacing w:before="0" w:after="0"/>
      </w:pPr>
      <w:r>
        <w:separator/>
      </w:r>
    </w:p>
  </w:endnote>
  <w:endnote w:type="continuationSeparator" w:id="0">
    <w:p w14:paraId="3C9C5331" w14:textId="77777777" w:rsidR="00E863D0" w:rsidRDefault="00E863D0" w:rsidP="008424A0">
      <w:pPr>
        <w:spacing w:before="0" w:after="0"/>
      </w:pPr>
      <w:r>
        <w:continuationSeparator/>
      </w:r>
    </w:p>
  </w:endnote>
  <w:endnote w:type="continuationNotice" w:id="1">
    <w:p w14:paraId="5CE36272" w14:textId="77777777" w:rsidR="006B710A" w:rsidRDefault="006B710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C0F7" w14:textId="77777777" w:rsidR="006E1B67" w:rsidRDefault="006E1B67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17EB" w14:textId="77777777" w:rsidR="00E863D0" w:rsidRDefault="00E863D0" w:rsidP="008424A0">
      <w:pPr>
        <w:spacing w:before="0" w:after="0"/>
      </w:pPr>
      <w:r>
        <w:separator/>
      </w:r>
    </w:p>
  </w:footnote>
  <w:footnote w:type="continuationSeparator" w:id="0">
    <w:p w14:paraId="3B0BEB4C" w14:textId="77777777" w:rsidR="00E863D0" w:rsidRDefault="00E863D0" w:rsidP="008424A0">
      <w:pPr>
        <w:spacing w:before="0" w:after="0"/>
      </w:pPr>
      <w:r>
        <w:continuationSeparator/>
      </w:r>
    </w:p>
  </w:footnote>
  <w:footnote w:type="continuationNotice" w:id="1">
    <w:p w14:paraId="75F235B4" w14:textId="77777777" w:rsidR="006B710A" w:rsidRDefault="006B710A">
      <w:pPr>
        <w:spacing w:before="0" w:after="0"/>
      </w:pPr>
    </w:p>
  </w:footnote>
  <w:footnote w:id="2">
    <w:p w14:paraId="187D98F7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3">
    <w:p w14:paraId="2561FD98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A54" w14:textId="77777777" w:rsidR="006E1B67" w:rsidRPr="006D16E6" w:rsidRDefault="006E1B67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17E37"/>
    <w:rsid w:val="0006311F"/>
    <w:rsid w:val="00063727"/>
    <w:rsid w:val="000A3295"/>
    <w:rsid w:val="000A592A"/>
    <w:rsid w:val="000B5D41"/>
    <w:rsid w:val="000C0005"/>
    <w:rsid w:val="000C7BD8"/>
    <w:rsid w:val="000F16F5"/>
    <w:rsid w:val="00107D79"/>
    <w:rsid w:val="00126BBE"/>
    <w:rsid w:val="001574E2"/>
    <w:rsid w:val="001757F9"/>
    <w:rsid w:val="00175E31"/>
    <w:rsid w:val="001912BD"/>
    <w:rsid w:val="001916C5"/>
    <w:rsid w:val="00196015"/>
    <w:rsid w:val="001A7B35"/>
    <w:rsid w:val="001D538C"/>
    <w:rsid w:val="001D542F"/>
    <w:rsid w:val="001D6704"/>
    <w:rsid w:val="001F12DE"/>
    <w:rsid w:val="001F1F31"/>
    <w:rsid w:val="00215DA9"/>
    <w:rsid w:val="00233FC6"/>
    <w:rsid w:val="00242E46"/>
    <w:rsid w:val="0024316D"/>
    <w:rsid w:val="002435EA"/>
    <w:rsid w:val="0026243E"/>
    <w:rsid w:val="00267A8E"/>
    <w:rsid w:val="00282B10"/>
    <w:rsid w:val="00295941"/>
    <w:rsid w:val="002A2E21"/>
    <w:rsid w:val="002A5B0A"/>
    <w:rsid w:val="002C4E95"/>
    <w:rsid w:val="002C7DB6"/>
    <w:rsid w:val="002F2983"/>
    <w:rsid w:val="002F5E6C"/>
    <w:rsid w:val="003012FC"/>
    <w:rsid w:val="003145DB"/>
    <w:rsid w:val="00345450"/>
    <w:rsid w:val="003554B1"/>
    <w:rsid w:val="003619B4"/>
    <w:rsid w:val="003768E8"/>
    <w:rsid w:val="003B4C26"/>
    <w:rsid w:val="003D537A"/>
    <w:rsid w:val="003D5FBF"/>
    <w:rsid w:val="003D7141"/>
    <w:rsid w:val="003E19E2"/>
    <w:rsid w:val="003F0352"/>
    <w:rsid w:val="0040536B"/>
    <w:rsid w:val="00407BB4"/>
    <w:rsid w:val="00411194"/>
    <w:rsid w:val="00430FB6"/>
    <w:rsid w:val="004332EF"/>
    <w:rsid w:val="004363C5"/>
    <w:rsid w:val="00443476"/>
    <w:rsid w:val="004456E3"/>
    <w:rsid w:val="00451E73"/>
    <w:rsid w:val="004A4DD5"/>
    <w:rsid w:val="004C339D"/>
    <w:rsid w:val="004C4A29"/>
    <w:rsid w:val="004D5F9C"/>
    <w:rsid w:val="004F7BD2"/>
    <w:rsid w:val="00503BE8"/>
    <w:rsid w:val="00536544"/>
    <w:rsid w:val="0054224F"/>
    <w:rsid w:val="00546D36"/>
    <w:rsid w:val="00584343"/>
    <w:rsid w:val="005C6E4B"/>
    <w:rsid w:val="005D012D"/>
    <w:rsid w:val="005D59B6"/>
    <w:rsid w:val="005F1DD6"/>
    <w:rsid w:val="00604B95"/>
    <w:rsid w:val="006065B1"/>
    <w:rsid w:val="006163AA"/>
    <w:rsid w:val="00640BE2"/>
    <w:rsid w:val="00651421"/>
    <w:rsid w:val="006635EB"/>
    <w:rsid w:val="00665D5A"/>
    <w:rsid w:val="00671140"/>
    <w:rsid w:val="006742C6"/>
    <w:rsid w:val="006839FC"/>
    <w:rsid w:val="006878B5"/>
    <w:rsid w:val="00692551"/>
    <w:rsid w:val="006941C8"/>
    <w:rsid w:val="006B041F"/>
    <w:rsid w:val="006B29A8"/>
    <w:rsid w:val="006B710A"/>
    <w:rsid w:val="006C0680"/>
    <w:rsid w:val="006D16E6"/>
    <w:rsid w:val="006E1B67"/>
    <w:rsid w:val="007378A8"/>
    <w:rsid w:val="007454E4"/>
    <w:rsid w:val="0075294D"/>
    <w:rsid w:val="007727CA"/>
    <w:rsid w:val="007A7E9A"/>
    <w:rsid w:val="007C0ACF"/>
    <w:rsid w:val="007D5FB3"/>
    <w:rsid w:val="007E5F7B"/>
    <w:rsid w:val="007E6DAC"/>
    <w:rsid w:val="007F028C"/>
    <w:rsid w:val="007F1795"/>
    <w:rsid w:val="008217AB"/>
    <w:rsid w:val="008267F6"/>
    <w:rsid w:val="00831B22"/>
    <w:rsid w:val="00840479"/>
    <w:rsid w:val="00841C41"/>
    <w:rsid w:val="008424A0"/>
    <w:rsid w:val="00854BB5"/>
    <w:rsid w:val="00857DF1"/>
    <w:rsid w:val="00873DB1"/>
    <w:rsid w:val="008C75BB"/>
    <w:rsid w:val="008F3A94"/>
    <w:rsid w:val="00915B59"/>
    <w:rsid w:val="0092023C"/>
    <w:rsid w:val="0095078B"/>
    <w:rsid w:val="009550E3"/>
    <w:rsid w:val="00966BCD"/>
    <w:rsid w:val="00971F27"/>
    <w:rsid w:val="009745EC"/>
    <w:rsid w:val="00975237"/>
    <w:rsid w:val="00992D9F"/>
    <w:rsid w:val="009B1A3A"/>
    <w:rsid w:val="009B7D50"/>
    <w:rsid w:val="009D09AE"/>
    <w:rsid w:val="009D7B09"/>
    <w:rsid w:val="009E4325"/>
    <w:rsid w:val="009F5D83"/>
    <w:rsid w:val="00A21288"/>
    <w:rsid w:val="00A2578C"/>
    <w:rsid w:val="00A52EE8"/>
    <w:rsid w:val="00A64574"/>
    <w:rsid w:val="00A66009"/>
    <w:rsid w:val="00A753E7"/>
    <w:rsid w:val="00A84708"/>
    <w:rsid w:val="00A90FAD"/>
    <w:rsid w:val="00AA7A7A"/>
    <w:rsid w:val="00AB0D97"/>
    <w:rsid w:val="00AC68C1"/>
    <w:rsid w:val="00AD09A0"/>
    <w:rsid w:val="00AE4025"/>
    <w:rsid w:val="00AE6DE0"/>
    <w:rsid w:val="00B03778"/>
    <w:rsid w:val="00B2186B"/>
    <w:rsid w:val="00B62903"/>
    <w:rsid w:val="00B6608F"/>
    <w:rsid w:val="00B70888"/>
    <w:rsid w:val="00BF2117"/>
    <w:rsid w:val="00BF4AF6"/>
    <w:rsid w:val="00BF5ABF"/>
    <w:rsid w:val="00C03B50"/>
    <w:rsid w:val="00C1321D"/>
    <w:rsid w:val="00C216A4"/>
    <w:rsid w:val="00C2431D"/>
    <w:rsid w:val="00C31FF2"/>
    <w:rsid w:val="00C44F28"/>
    <w:rsid w:val="00C566F9"/>
    <w:rsid w:val="00C75322"/>
    <w:rsid w:val="00C77C4A"/>
    <w:rsid w:val="00C93895"/>
    <w:rsid w:val="00C95007"/>
    <w:rsid w:val="00C96028"/>
    <w:rsid w:val="00CA2B84"/>
    <w:rsid w:val="00CA4C1B"/>
    <w:rsid w:val="00CB3E31"/>
    <w:rsid w:val="00CC1B34"/>
    <w:rsid w:val="00CF649A"/>
    <w:rsid w:val="00D24A07"/>
    <w:rsid w:val="00D27519"/>
    <w:rsid w:val="00D27C08"/>
    <w:rsid w:val="00D35E0A"/>
    <w:rsid w:val="00D418F9"/>
    <w:rsid w:val="00D4468D"/>
    <w:rsid w:val="00D61834"/>
    <w:rsid w:val="00D63D86"/>
    <w:rsid w:val="00D70711"/>
    <w:rsid w:val="00D90586"/>
    <w:rsid w:val="00DF31D9"/>
    <w:rsid w:val="00DF719B"/>
    <w:rsid w:val="00E37A2A"/>
    <w:rsid w:val="00E47126"/>
    <w:rsid w:val="00E635B9"/>
    <w:rsid w:val="00E863D0"/>
    <w:rsid w:val="00E96C74"/>
    <w:rsid w:val="00EB0736"/>
    <w:rsid w:val="00EB0DD1"/>
    <w:rsid w:val="00ED07AB"/>
    <w:rsid w:val="00ED5CCC"/>
    <w:rsid w:val="00ED7B0B"/>
    <w:rsid w:val="00F0424F"/>
    <w:rsid w:val="00F305A5"/>
    <w:rsid w:val="00F4319E"/>
    <w:rsid w:val="00F4428C"/>
    <w:rsid w:val="00F60402"/>
    <w:rsid w:val="00F9205A"/>
    <w:rsid w:val="00FA7F00"/>
    <w:rsid w:val="00FB48F2"/>
    <w:rsid w:val="00FB53FD"/>
    <w:rsid w:val="00FB79F5"/>
    <w:rsid w:val="00FD34DF"/>
    <w:rsid w:val="00FE1603"/>
    <w:rsid w:val="00FE3D5C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E37691"/>
  <w15:docId w15:val="{B74CC2EA-0E01-4FF4-B8D9-FB0F0BD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F3FC-D632-4C9B-BD24-7B2FD011F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7CD19-3253-45EF-A18D-FC5F4DEB5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39BEB-43B1-442F-9260-B53F4E3D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C2723-DC38-440C-9D41-541A5B4B5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29</cp:revision>
  <cp:lastPrinted>2019-02-13T22:58:00Z</cp:lastPrinted>
  <dcterms:created xsi:type="dcterms:W3CDTF">2020-05-21T12:38:00Z</dcterms:created>
  <dcterms:modified xsi:type="dcterms:W3CDTF">2020-08-12T18:46:00Z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