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4E1702F" w:rsidR="00A04AFF" w:rsidRDefault="007B3730" w:rsidP="00C308A6">
      <w:pPr>
        <w:ind w:right="-288"/>
        <w:jc w:val="center"/>
        <w:outlineLvl w:val="0"/>
        <w:rPr>
          <w:rFonts w:cs="Arial"/>
          <w:b/>
          <w:bCs/>
          <w:iCs/>
          <w:sz w:val="36"/>
        </w:rPr>
      </w:pPr>
      <w:r>
        <w:rPr>
          <w:rFonts w:cs="Arial"/>
          <w:b/>
          <w:bCs/>
          <w:iCs/>
          <w:sz w:val="36"/>
        </w:rPr>
        <w:t>Technical Report</w:t>
      </w:r>
      <w:r w:rsidR="001861AE">
        <w:rPr>
          <w:rFonts w:cs="Arial"/>
          <w:b/>
          <w:bCs/>
          <w:iCs/>
          <w:sz w:val="36"/>
        </w:rPr>
        <w:t xml:space="preserve"> o</w:t>
      </w:r>
      <w:r>
        <w:rPr>
          <w:rFonts w:cs="Arial"/>
          <w:b/>
          <w:bCs/>
          <w:iCs/>
          <w:sz w:val="36"/>
        </w:rPr>
        <w:t>n</w:t>
      </w:r>
      <w:r w:rsidR="001861AE">
        <w:rPr>
          <w:rFonts w:cs="Arial"/>
          <w:b/>
          <w:bCs/>
          <w:iCs/>
          <w:sz w:val="36"/>
        </w:rPr>
        <w:t xml:space="preserve"> Alternatives for Caller Authentication for Non-IP </w:t>
      </w:r>
      <w:r w:rsidR="005638F7">
        <w:rPr>
          <w:rFonts w:cs="Arial"/>
          <w:b/>
          <w:bCs/>
          <w:iCs/>
          <w:sz w:val="36"/>
        </w:rPr>
        <w:t>Traffic</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487141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w:t>
      </w:r>
      <w:r w:rsidR="00732810">
        <w:t xml:space="preserve">Technical Report </w:t>
      </w:r>
      <w:r w:rsidR="003B2910">
        <w:t xml:space="preserve">considers </w:t>
      </w:r>
      <w:r w:rsidR="00F041E1">
        <w:t xml:space="preserve">scenarios where SIP connectivity is not available end-to-end (i.e., “non-IP” scenarios) </w:t>
      </w:r>
      <w:r w:rsidR="006B7C6D">
        <w:t xml:space="preserve">and identifies potential mechanisms </w:t>
      </w:r>
      <w:r w:rsidR="00CD4753">
        <w:t xml:space="preserve">for </w:t>
      </w:r>
      <w:r w:rsidR="004E2BF8">
        <w:t xml:space="preserve">to determine </w:t>
      </w:r>
      <w:r w:rsidR="002A5DF3">
        <w:t>that the calling user is authorized to use the calling telephone number</w:t>
      </w:r>
      <w:r w:rsidR="00EE717C" w:rsidRPr="00EE717C">
        <w:t>.</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A7752DE" w14:textId="2E4D2D1E" w:rsidR="008477F7" w:rsidRDefault="000F7412">
      <w:pPr>
        <w:pStyle w:val="TOC1"/>
        <w:rPr>
          <w:rFonts w:asciiTheme="minorHAnsi" w:eastAsiaTheme="minorEastAsia" w:hAnsiTheme="minorHAnsi" w:cstheme="minorBidi"/>
          <w:b w:val="0"/>
          <w:bCs w:val="0"/>
          <w:caps w:val="0"/>
          <w:noProof/>
          <w:sz w:val="22"/>
          <w:szCs w:val="22"/>
          <w:lang w:val="en-CA" w:eastAsia="en-CA"/>
        </w:rPr>
      </w:pPr>
      <w:r>
        <w:rPr>
          <w:highlight w:val="yellow"/>
        </w:rPr>
        <w:fldChar w:fldCharType="begin"/>
      </w:r>
      <w:r>
        <w:rPr>
          <w:highlight w:val="yellow"/>
        </w:rPr>
        <w:instrText xml:space="preserve"> TOC \o "1-3" </w:instrText>
      </w:r>
      <w:r>
        <w:rPr>
          <w:highlight w:val="yellow"/>
        </w:rPr>
        <w:fldChar w:fldCharType="separate"/>
      </w:r>
      <w:r w:rsidR="008477F7">
        <w:rPr>
          <w:noProof/>
        </w:rPr>
        <w:t>1</w:t>
      </w:r>
      <w:r w:rsidR="008477F7">
        <w:rPr>
          <w:rFonts w:asciiTheme="minorHAnsi" w:eastAsiaTheme="minorEastAsia" w:hAnsiTheme="minorHAnsi" w:cstheme="minorBidi"/>
          <w:b w:val="0"/>
          <w:bCs w:val="0"/>
          <w:caps w:val="0"/>
          <w:noProof/>
          <w:sz w:val="22"/>
          <w:szCs w:val="22"/>
          <w:lang w:val="en-CA" w:eastAsia="en-CA"/>
        </w:rPr>
        <w:tab/>
      </w:r>
      <w:r w:rsidR="008477F7">
        <w:rPr>
          <w:noProof/>
        </w:rPr>
        <w:t>Scope, Purpose, &amp; Application</w:t>
      </w:r>
      <w:r w:rsidR="008477F7">
        <w:rPr>
          <w:noProof/>
        </w:rPr>
        <w:tab/>
      </w:r>
      <w:r w:rsidR="008477F7">
        <w:rPr>
          <w:noProof/>
        </w:rPr>
        <w:fldChar w:fldCharType="begin"/>
      </w:r>
      <w:r w:rsidR="008477F7">
        <w:rPr>
          <w:noProof/>
        </w:rPr>
        <w:instrText xml:space="preserve"> PAGEREF _Toc38909832 \h </w:instrText>
      </w:r>
      <w:r w:rsidR="008477F7">
        <w:rPr>
          <w:noProof/>
        </w:rPr>
      </w:r>
      <w:r w:rsidR="008477F7">
        <w:rPr>
          <w:noProof/>
        </w:rPr>
        <w:fldChar w:fldCharType="separate"/>
      </w:r>
      <w:r w:rsidR="008477F7">
        <w:rPr>
          <w:noProof/>
        </w:rPr>
        <w:t>1</w:t>
      </w:r>
      <w:r w:rsidR="008477F7">
        <w:rPr>
          <w:noProof/>
        </w:rPr>
        <w:fldChar w:fldCharType="end"/>
      </w:r>
    </w:p>
    <w:p w14:paraId="5EB2E2CB" w14:textId="174535FA"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1.1</w:t>
      </w:r>
      <w:r>
        <w:rPr>
          <w:rFonts w:asciiTheme="minorHAnsi" w:eastAsiaTheme="minorEastAsia" w:hAnsiTheme="minorHAnsi" w:cstheme="minorBidi"/>
          <w:smallCaps w:val="0"/>
          <w:noProof/>
          <w:sz w:val="22"/>
          <w:szCs w:val="22"/>
          <w:lang w:val="en-CA" w:eastAsia="en-CA"/>
        </w:rPr>
        <w:tab/>
      </w:r>
      <w:r>
        <w:rPr>
          <w:noProof/>
        </w:rPr>
        <w:t>Scope</w:t>
      </w:r>
      <w:r>
        <w:rPr>
          <w:noProof/>
        </w:rPr>
        <w:tab/>
      </w:r>
      <w:r>
        <w:rPr>
          <w:noProof/>
        </w:rPr>
        <w:fldChar w:fldCharType="begin"/>
      </w:r>
      <w:r>
        <w:rPr>
          <w:noProof/>
        </w:rPr>
        <w:instrText xml:space="preserve"> PAGEREF _Toc38909833 \h </w:instrText>
      </w:r>
      <w:r>
        <w:rPr>
          <w:noProof/>
        </w:rPr>
      </w:r>
      <w:r>
        <w:rPr>
          <w:noProof/>
        </w:rPr>
        <w:fldChar w:fldCharType="separate"/>
      </w:r>
      <w:r>
        <w:rPr>
          <w:noProof/>
        </w:rPr>
        <w:t>1</w:t>
      </w:r>
      <w:r>
        <w:rPr>
          <w:noProof/>
        </w:rPr>
        <w:fldChar w:fldCharType="end"/>
      </w:r>
    </w:p>
    <w:p w14:paraId="0FB35EEA" w14:textId="74BCC818"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1.2</w:t>
      </w:r>
      <w:r>
        <w:rPr>
          <w:rFonts w:asciiTheme="minorHAnsi" w:eastAsiaTheme="minorEastAsia" w:hAnsiTheme="minorHAnsi" w:cstheme="minorBidi"/>
          <w:smallCaps w:val="0"/>
          <w:noProof/>
          <w:sz w:val="22"/>
          <w:szCs w:val="22"/>
          <w:lang w:val="en-CA" w:eastAsia="en-CA"/>
        </w:rPr>
        <w:tab/>
      </w:r>
      <w:r>
        <w:rPr>
          <w:noProof/>
        </w:rPr>
        <w:t>Purpose</w:t>
      </w:r>
      <w:r>
        <w:rPr>
          <w:noProof/>
        </w:rPr>
        <w:tab/>
      </w:r>
      <w:r>
        <w:rPr>
          <w:noProof/>
        </w:rPr>
        <w:fldChar w:fldCharType="begin"/>
      </w:r>
      <w:r>
        <w:rPr>
          <w:noProof/>
        </w:rPr>
        <w:instrText xml:space="preserve"> PAGEREF _Toc38909834 \h </w:instrText>
      </w:r>
      <w:r>
        <w:rPr>
          <w:noProof/>
        </w:rPr>
      </w:r>
      <w:r>
        <w:rPr>
          <w:noProof/>
        </w:rPr>
        <w:fldChar w:fldCharType="separate"/>
      </w:r>
      <w:r>
        <w:rPr>
          <w:noProof/>
        </w:rPr>
        <w:t>1</w:t>
      </w:r>
      <w:r>
        <w:rPr>
          <w:noProof/>
        </w:rPr>
        <w:fldChar w:fldCharType="end"/>
      </w:r>
    </w:p>
    <w:p w14:paraId="6F4CF053" w14:textId="407C1FBA"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2</w:t>
      </w:r>
      <w:r>
        <w:rPr>
          <w:rFonts w:asciiTheme="minorHAnsi" w:eastAsiaTheme="minorEastAsia" w:hAnsiTheme="minorHAnsi" w:cstheme="minorBidi"/>
          <w:b w:val="0"/>
          <w:bCs w:val="0"/>
          <w:caps w:val="0"/>
          <w:noProof/>
          <w:sz w:val="22"/>
          <w:szCs w:val="22"/>
          <w:lang w:val="en-CA" w:eastAsia="en-CA"/>
        </w:rPr>
        <w:tab/>
      </w:r>
      <w:r>
        <w:rPr>
          <w:noProof/>
        </w:rPr>
        <w:t>References</w:t>
      </w:r>
      <w:r>
        <w:rPr>
          <w:noProof/>
        </w:rPr>
        <w:tab/>
      </w:r>
      <w:r>
        <w:rPr>
          <w:noProof/>
        </w:rPr>
        <w:fldChar w:fldCharType="begin"/>
      </w:r>
      <w:r>
        <w:rPr>
          <w:noProof/>
        </w:rPr>
        <w:instrText xml:space="preserve"> PAGEREF _Toc38909835 \h </w:instrText>
      </w:r>
      <w:r>
        <w:rPr>
          <w:noProof/>
        </w:rPr>
      </w:r>
      <w:r>
        <w:rPr>
          <w:noProof/>
        </w:rPr>
        <w:fldChar w:fldCharType="separate"/>
      </w:r>
      <w:r>
        <w:rPr>
          <w:noProof/>
        </w:rPr>
        <w:t>1</w:t>
      </w:r>
      <w:r>
        <w:rPr>
          <w:noProof/>
        </w:rPr>
        <w:fldChar w:fldCharType="end"/>
      </w:r>
    </w:p>
    <w:p w14:paraId="75AC9EA1" w14:textId="7B399FB8"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3</w:t>
      </w:r>
      <w:r>
        <w:rPr>
          <w:rFonts w:asciiTheme="minorHAnsi" w:eastAsiaTheme="minorEastAsia" w:hAnsiTheme="minorHAnsi" w:cstheme="minorBidi"/>
          <w:b w:val="0"/>
          <w:bCs w:val="0"/>
          <w:caps w:val="0"/>
          <w:noProof/>
          <w:sz w:val="22"/>
          <w:szCs w:val="22"/>
          <w:lang w:val="en-CA" w:eastAsia="en-CA"/>
        </w:rPr>
        <w:tab/>
      </w:r>
      <w:r>
        <w:rPr>
          <w:noProof/>
        </w:rPr>
        <w:t>Definitions, Acronyms, &amp; Abbreviations</w:t>
      </w:r>
      <w:r>
        <w:rPr>
          <w:noProof/>
        </w:rPr>
        <w:tab/>
      </w:r>
      <w:r>
        <w:rPr>
          <w:noProof/>
        </w:rPr>
        <w:fldChar w:fldCharType="begin"/>
      </w:r>
      <w:r>
        <w:rPr>
          <w:noProof/>
        </w:rPr>
        <w:instrText xml:space="preserve"> PAGEREF _Toc38909836 \h </w:instrText>
      </w:r>
      <w:r>
        <w:rPr>
          <w:noProof/>
        </w:rPr>
      </w:r>
      <w:r>
        <w:rPr>
          <w:noProof/>
        </w:rPr>
        <w:fldChar w:fldCharType="separate"/>
      </w:r>
      <w:r>
        <w:rPr>
          <w:noProof/>
        </w:rPr>
        <w:t>2</w:t>
      </w:r>
      <w:r>
        <w:rPr>
          <w:noProof/>
        </w:rPr>
        <w:fldChar w:fldCharType="end"/>
      </w:r>
    </w:p>
    <w:p w14:paraId="7A4E77B4" w14:textId="39B27819"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3.1</w:t>
      </w:r>
      <w:r>
        <w:rPr>
          <w:rFonts w:asciiTheme="minorHAnsi" w:eastAsiaTheme="minorEastAsia" w:hAnsiTheme="minorHAnsi" w:cstheme="minorBidi"/>
          <w:smallCaps w:val="0"/>
          <w:noProof/>
          <w:sz w:val="22"/>
          <w:szCs w:val="22"/>
          <w:lang w:val="en-CA" w:eastAsia="en-CA"/>
        </w:rPr>
        <w:tab/>
      </w:r>
      <w:r>
        <w:rPr>
          <w:noProof/>
        </w:rPr>
        <w:t>Definitions</w:t>
      </w:r>
      <w:r>
        <w:rPr>
          <w:noProof/>
        </w:rPr>
        <w:tab/>
      </w:r>
      <w:r>
        <w:rPr>
          <w:noProof/>
        </w:rPr>
        <w:fldChar w:fldCharType="begin"/>
      </w:r>
      <w:r>
        <w:rPr>
          <w:noProof/>
        </w:rPr>
        <w:instrText xml:space="preserve"> PAGEREF _Toc38909837 \h </w:instrText>
      </w:r>
      <w:r>
        <w:rPr>
          <w:noProof/>
        </w:rPr>
      </w:r>
      <w:r>
        <w:rPr>
          <w:noProof/>
        </w:rPr>
        <w:fldChar w:fldCharType="separate"/>
      </w:r>
      <w:r>
        <w:rPr>
          <w:noProof/>
        </w:rPr>
        <w:t>2</w:t>
      </w:r>
      <w:r>
        <w:rPr>
          <w:noProof/>
        </w:rPr>
        <w:fldChar w:fldCharType="end"/>
      </w:r>
    </w:p>
    <w:p w14:paraId="2F531FEA" w14:textId="4DAE36CD"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3.2</w:t>
      </w:r>
      <w:r>
        <w:rPr>
          <w:rFonts w:asciiTheme="minorHAnsi" w:eastAsiaTheme="minorEastAsia" w:hAnsiTheme="minorHAnsi" w:cstheme="minorBidi"/>
          <w:smallCaps w:val="0"/>
          <w:noProof/>
          <w:sz w:val="22"/>
          <w:szCs w:val="22"/>
          <w:lang w:val="en-CA" w:eastAsia="en-CA"/>
        </w:rPr>
        <w:tab/>
      </w:r>
      <w:r>
        <w:rPr>
          <w:noProof/>
        </w:rPr>
        <w:t>Acronyms &amp; Abbreviations</w:t>
      </w:r>
      <w:r>
        <w:rPr>
          <w:noProof/>
        </w:rPr>
        <w:tab/>
      </w:r>
      <w:r>
        <w:rPr>
          <w:noProof/>
        </w:rPr>
        <w:fldChar w:fldCharType="begin"/>
      </w:r>
      <w:r>
        <w:rPr>
          <w:noProof/>
        </w:rPr>
        <w:instrText xml:space="preserve"> PAGEREF _Toc38909838 \h </w:instrText>
      </w:r>
      <w:r>
        <w:rPr>
          <w:noProof/>
        </w:rPr>
      </w:r>
      <w:r>
        <w:rPr>
          <w:noProof/>
        </w:rPr>
        <w:fldChar w:fldCharType="separate"/>
      </w:r>
      <w:r>
        <w:rPr>
          <w:noProof/>
        </w:rPr>
        <w:t>3</w:t>
      </w:r>
      <w:r>
        <w:rPr>
          <w:noProof/>
        </w:rPr>
        <w:fldChar w:fldCharType="end"/>
      </w:r>
    </w:p>
    <w:p w14:paraId="22FC20A9" w14:textId="4C2E27A6"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4</w:t>
      </w:r>
      <w:r>
        <w:rPr>
          <w:rFonts w:asciiTheme="minorHAnsi" w:eastAsiaTheme="minorEastAsia" w:hAnsiTheme="minorHAnsi" w:cstheme="minorBidi"/>
          <w:b w:val="0"/>
          <w:bCs w:val="0"/>
          <w:caps w:val="0"/>
          <w:noProof/>
          <w:sz w:val="22"/>
          <w:szCs w:val="22"/>
          <w:lang w:val="en-CA" w:eastAsia="en-CA"/>
        </w:rPr>
        <w:tab/>
      </w:r>
      <w:r>
        <w:rPr>
          <w:noProof/>
        </w:rPr>
        <w:t>Overview</w:t>
      </w:r>
      <w:r>
        <w:rPr>
          <w:noProof/>
        </w:rPr>
        <w:tab/>
      </w:r>
      <w:r>
        <w:rPr>
          <w:noProof/>
        </w:rPr>
        <w:fldChar w:fldCharType="begin"/>
      </w:r>
      <w:r>
        <w:rPr>
          <w:noProof/>
        </w:rPr>
        <w:instrText xml:space="preserve"> PAGEREF _Toc38909839 \h </w:instrText>
      </w:r>
      <w:r>
        <w:rPr>
          <w:noProof/>
        </w:rPr>
      </w:r>
      <w:r>
        <w:rPr>
          <w:noProof/>
        </w:rPr>
        <w:fldChar w:fldCharType="separate"/>
      </w:r>
      <w:r>
        <w:rPr>
          <w:noProof/>
        </w:rPr>
        <w:t>5</w:t>
      </w:r>
      <w:r>
        <w:rPr>
          <w:noProof/>
        </w:rPr>
        <w:fldChar w:fldCharType="end"/>
      </w:r>
    </w:p>
    <w:p w14:paraId="3D7DC644" w14:textId="2C1646BA"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Pr>
          <w:noProof/>
        </w:rPr>
        <w:t>4.1</w:t>
      </w:r>
      <w:r>
        <w:rPr>
          <w:rFonts w:asciiTheme="minorHAnsi" w:eastAsiaTheme="minorEastAsia" w:hAnsiTheme="minorHAnsi" w:cstheme="minorBidi"/>
          <w:smallCaps w:val="0"/>
          <w:noProof/>
          <w:sz w:val="22"/>
          <w:szCs w:val="22"/>
          <w:lang w:val="en-CA" w:eastAsia="en-CA"/>
        </w:rPr>
        <w:tab/>
      </w:r>
      <w:r>
        <w:rPr>
          <w:noProof/>
        </w:rPr>
        <w:t>Problem Statement</w:t>
      </w:r>
      <w:r>
        <w:rPr>
          <w:noProof/>
        </w:rPr>
        <w:tab/>
      </w:r>
      <w:r>
        <w:rPr>
          <w:noProof/>
        </w:rPr>
        <w:fldChar w:fldCharType="begin"/>
      </w:r>
      <w:r>
        <w:rPr>
          <w:noProof/>
        </w:rPr>
        <w:instrText xml:space="preserve"> PAGEREF _Toc38909840 \h </w:instrText>
      </w:r>
      <w:r>
        <w:rPr>
          <w:noProof/>
        </w:rPr>
      </w:r>
      <w:r>
        <w:rPr>
          <w:noProof/>
        </w:rPr>
        <w:fldChar w:fldCharType="separate"/>
      </w:r>
      <w:r>
        <w:rPr>
          <w:noProof/>
        </w:rPr>
        <w:t>5</w:t>
      </w:r>
      <w:r>
        <w:rPr>
          <w:noProof/>
        </w:rPr>
        <w:fldChar w:fldCharType="end"/>
      </w:r>
    </w:p>
    <w:p w14:paraId="1D2BF480" w14:textId="20DA9868"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4.2</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Objective</w:t>
      </w:r>
      <w:r>
        <w:rPr>
          <w:noProof/>
        </w:rPr>
        <w:tab/>
      </w:r>
      <w:r>
        <w:rPr>
          <w:noProof/>
        </w:rPr>
        <w:fldChar w:fldCharType="begin"/>
      </w:r>
      <w:r>
        <w:rPr>
          <w:noProof/>
        </w:rPr>
        <w:instrText xml:space="preserve"> PAGEREF _Toc38909841 \h </w:instrText>
      </w:r>
      <w:r>
        <w:rPr>
          <w:noProof/>
        </w:rPr>
      </w:r>
      <w:r>
        <w:rPr>
          <w:noProof/>
        </w:rPr>
        <w:fldChar w:fldCharType="separate"/>
      </w:r>
      <w:r>
        <w:rPr>
          <w:noProof/>
        </w:rPr>
        <w:t>5</w:t>
      </w:r>
      <w:r>
        <w:rPr>
          <w:noProof/>
        </w:rPr>
        <w:fldChar w:fldCharType="end"/>
      </w:r>
    </w:p>
    <w:p w14:paraId="3A4F8527" w14:textId="4F6B7F12"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4.3</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Evaluation of Non-IP Call Authentication Mechanisms</w:t>
      </w:r>
      <w:r>
        <w:rPr>
          <w:noProof/>
        </w:rPr>
        <w:tab/>
      </w:r>
      <w:r>
        <w:rPr>
          <w:noProof/>
        </w:rPr>
        <w:fldChar w:fldCharType="begin"/>
      </w:r>
      <w:r>
        <w:rPr>
          <w:noProof/>
        </w:rPr>
        <w:instrText xml:space="preserve"> PAGEREF _Toc38909842 \h </w:instrText>
      </w:r>
      <w:r>
        <w:rPr>
          <w:noProof/>
        </w:rPr>
      </w:r>
      <w:r>
        <w:rPr>
          <w:noProof/>
        </w:rPr>
        <w:fldChar w:fldCharType="separate"/>
      </w:r>
      <w:r>
        <w:rPr>
          <w:noProof/>
        </w:rPr>
        <w:t>5</w:t>
      </w:r>
      <w:r>
        <w:rPr>
          <w:noProof/>
        </w:rPr>
        <w:fldChar w:fldCharType="end"/>
      </w:r>
    </w:p>
    <w:p w14:paraId="17B3FAEB" w14:textId="71A8184F" w:rsidR="008477F7" w:rsidRDefault="008477F7">
      <w:pPr>
        <w:pStyle w:val="TOC1"/>
        <w:rPr>
          <w:rFonts w:asciiTheme="minorHAnsi" w:eastAsiaTheme="minorEastAsia" w:hAnsiTheme="minorHAnsi" w:cstheme="minorBidi"/>
          <w:b w:val="0"/>
          <w:bCs w:val="0"/>
          <w:caps w:val="0"/>
          <w:noProof/>
          <w:sz w:val="22"/>
          <w:szCs w:val="22"/>
          <w:lang w:val="en-CA" w:eastAsia="en-CA"/>
        </w:rPr>
      </w:pPr>
      <w:r>
        <w:rPr>
          <w:noProof/>
        </w:rPr>
        <w:t>5</w:t>
      </w:r>
      <w:r>
        <w:rPr>
          <w:rFonts w:asciiTheme="minorHAnsi" w:eastAsiaTheme="minorEastAsia" w:hAnsiTheme="minorHAnsi" w:cstheme="minorBidi"/>
          <w:b w:val="0"/>
          <w:bCs w:val="0"/>
          <w:caps w:val="0"/>
          <w:noProof/>
          <w:sz w:val="22"/>
          <w:szCs w:val="22"/>
          <w:lang w:val="en-CA" w:eastAsia="en-CA"/>
        </w:rPr>
        <w:tab/>
      </w:r>
      <w:r>
        <w:rPr>
          <w:noProof/>
        </w:rPr>
        <w:t>Non-IP Scenarios</w:t>
      </w:r>
      <w:r>
        <w:rPr>
          <w:noProof/>
        </w:rPr>
        <w:tab/>
      </w:r>
      <w:r>
        <w:rPr>
          <w:noProof/>
        </w:rPr>
        <w:fldChar w:fldCharType="begin"/>
      </w:r>
      <w:r>
        <w:rPr>
          <w:noProof/>
        </w:rPr>
        <w:instrText xml:space="preserve"> PAGEREF _Toc38909843 \h </w:instrText>
      </w:r>
      <w:r>
        <w:rPr>
          <w:noProof/>
        </w:rPr>
      </w:r>
      <w:r>
        <w:rPr>
          <w:noProof/>
        </w:rPr>
        <w:fldChar w:fldCharType="separate"/>
      </w:r>
      <w:r>
        <w:rPr>
          <w:noProof/>
        </w:rPr>
        <w:t>5</w:t>
      </w:r>
      <w:r>
        <w:rPr>
          <w:noProof/>
        </w:rPr>
        <w:fldChar w:fldCharType="end"/>
      </w:r>
    </w:p>
    <w:p w14:paraId="6EADC35D" w14:textId="6CB7DE62"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5.1</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TDM =&gt; SIP</w:t>
      </w:r>
      <w:r>
        <w:rPr>
          <w:noProof/>
        </w:rPr>
        <w:tab/>
      </w:r>
      <w:r>
        <w:rPr>
          <w:noProof/>
        </w:rPr>
        <w:fldChar w:fldCharType="begin"/>
      </w:r>
      <w:r>
        <w:rPr>
          <w:noProof/>
        </w:rPr>
        <w:instrText xml:space="preserve"> PAGEREF _Toc38909844 \h </w:instrText>
      </w:r>
      <w:r>
        <w:rPr>
          <w:noProof/>
        </w:rPr>
      </w:r>
      <w:r>
        <w:rPr>
          <w:noProof/>
        </w:rPr>
        <w:fldChar w:fldCharType="separate"/>
      </w:r>
      <w:r>
        <w:rPr>
          <w:noProof/>
        </w:rPr>
        <w:t>5</w:t>
      </w:r>
      <w:r>
        <w:rPr>
          <w:noProof/>
        </w:rPr>
        <w:fldChar w:fldCharType="end"/>
      </w:r>
    </w:p>
    <w:p w14:paraId="1B2CB741" w14:textId="327DDCDC"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5.2</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SIP =&gt; TDM</w:t>
      </w:r>
      <w:r>
        <w:rPr>
          <w:noProof/>
        </w:rPr>
        <w:tab/>
      </w:r>
      <w:r>
        <w:rPr>
          <w:noProof/>
        </w:rPr>
        <w:fldChar w:fldCharType="begin"/>
      </w:r>
      <w:r>
        <w:rPr>
          <w:noProof/>
        </w:rPr>
        <w:instrText xml:space="preserve"> PAGEREF _Toc38909845 \h </w:instrText>
      </w:r>
      <w:r>
        <w:rPr>
          <w:noProof/>
        </w:rPr>
      </w:r>
      <w:r>
        <w:rPr>
          <w:noProof/>
        </w:rPr>
        <w:fldChar w:fldCharType="separate"/>
      </w:r>
      <w:r>
        <w:rPr>
          <w:noProof/>
        </w:rPr>
        <w:t>6</w:t>
      </w:r>
      <w:r>
        <w:rPr>
          <w:noProof/>
        </w:rPr>
        <w:fldChar w:fldCharType="end"/>
      </w:r>
    </w:p>
    <w:p w14:paraId="1D7F04D1" w14:textId="0C8755D1" w:rsidR="008477F7" w:rsidRDefault="008477F7">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rsidRPr="00E542D0">
        <w:rPr>
          <w:noProof/>
          <w:color w:val="000000" w:themeColor="text1"/>
        </w:rPr>
        <w:t>5.3</w:t>
      </w:r>
      <w:r>
        <w:rPr>
          <w:rFonts w:asciiTheme="minorHAnsi" w:eastAsiaTheme="minorEastAsia" w:hAnsiTheme="minorHAnsi" w:cstheme="minorBidi"/>
          <w:smallCaps w:val="0"/>
          <w:noProof/>
          <w:sz w:val="22"/>
          <w:szCs w:val="22"/>
          <w:lang w:val="en-CA" w:eastAsia="en-CA"/>
        </w:rPr>
        <w:tab/>
      </w:r>
      <w:r w:rsidRPr="00E542D0">
        <w:rPr>
          <w:noProof/>
          <w:color w:val="000000" w:themeColor="text1"/>
        </w:rPr>
        <w:t>SIP =&gt; TDM =&gt; SIP</w:t>
      </w:r>
      <w:r>
        <w:rPr>
          <w:noProof/>
        </w:rPr>
        <w:tab/>
      </w:r>
      <w:r>
        <w:rPr>
          <w:noProof/>
        </w:rPr>
        <w:fldChar w:fldCharType="begin"/>
      </w:r>
      <w:r>
        <w:rPr>
          <w:noProof/>
        </w:rPr>
        <w:instrText xml:space="preserve"> PAGEREF _Toc38909846 \h </w:instrText>
      </w:r>
      <w:r>
        <w:rPr>
          <w:noProof/>
        </w:rPr>
      </w:r>
      <w:r>
        <w:rPr>
          <w:noProof/>
        </w:rPr>
        <w:fldChar w:fldCharType="separate"/>
      </w:r>
      <w:r>
        <w:rPr>
          <w:noProof/>
        </w:rPr>
        <w:t>6</w:t>
      </w:r>
      <w:r>
        <w:rPr>
          <w:noProof/>
        </w:rPr>
        <w:fldChar w:fldCharType="end"/>
      </w:r>
    </w:p>
    <w:p w14:paraId="2CE8955A" w14:textId="069846D3" w:rsidR="008477F7" w:rsidRDefault="008477F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rPr>
          <w:noProof/>
        </w:rPr>
        <w:t>5.3.1</w:t>
      </w:r>
      <w:r>
        <w:rPr>
          <w:rFonts w:asciiTheme="minorHAnsi" w:eastAsiaTheme="minorEastAsia" w:hAnsiTheme="minorHAnsi" w:cstheme="minorBidi"/>
          <w:i w:val="0"/>
          <w:iCs w:val="0"/>
          <w:noProof/>
          <w:sz w:val="22"/>
          <w:szCs w:val="22"/>
          <w:lang w:val="en-CA" w:eastAsia="en-CA"/>
        </w:rPr>
        <w:tab/>
      </w:r>
      <w:r>
        <w:rPr>
          <w:noProof/>
        </w:rPr>
        <w:t>SIP =&gt; TDM Transport</w:t>
      </w:r>
      <w:r>
        <w:rPr>
          <w:noProof/>
        </w:rPr>
        <w:tab/>
      </w:r>
      <w:r>
        <w:rPr>
          <w:noProof/>
        </w:rPr>
        <w:fldChar w:fldCharType="begin"/>
      </w:r>
      <w:r>
        <w:rPr>
          <w:noProof/>
        </w:rPr>
        <w:instrText xml:space="preserve"> PAGEREF _Toc38909847 \h </w:instrText>
      </w:r>
      <w:r>
        <w:rPr>
          <w:noProof/>
        </w:rPr>
      </w:r>
      <w:r>
        <w:rPr>
          <w:noProof/>
        </w:rPr>
        <w:fldChar w:fldCharType="separate"/>
      </w:r>
      <w:r>
        <w:rPr>
          <w:noProof/>
        </w:rPr>
        <w:t>6</w:t>
      </w:r>
      <w:r>
        <w:rPr>
          <w:noProof/>
        </w:rPr>
        <w:fldChar w:fldCharType="end"/>
      </w:r>
    </w:p>
    <w:p w14:paraId="71B665D9" w14:textId="1802370B" w:rsidR="008477F7" w:rsidRDefault="008477F7">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rPr>
          <w:noProof/>
        </w:rPr>
        <w:t>5.3.2</w:t>
      </w:r>
      <w:r>
        <w:rPr>
          <w:rFonts w:asciiTheme="minorHAnsi" w:eastAsiaTheme="minorEastAsia" w:hAnsiTheme="minorHAnsi" w:cstheme="minorBidi"/>
          <w:i w:val="0"/>
          <w:iCs w:val="0"/>
          <w:noProof/>
          <w:sz w:val="22"/>
          <w:szCs w:val="22"/>
          <w:lang w:val="en-CA" w:eastAsia="en-CA"/>
        </w:rPr>
        <w:tab/>
      </w:r>
      <w:r>
        <w:rPr>
          <w:noProof/>
        </w:rPr>
        <w:t>TDM Transport =&gt; SIP</w:t>
      </w:r>
      <w:r>
        <w:rPr>
          <w:noProof/>
        </w:rPr>
        <w:tab/>
      </w:r>
      <w:r>
        <w:rPr>
          <w:noProof/>
        </w:rPr>
        <w:fldChar w:fldCharType="begin"/>
      </w:r>
      <w:r>
        <w:rPr>
          <w:noProof/>
        </w:rPr>
        <w:instrText xml:space="preserve"> PAGEREF _Toc38909848 \h </w:instrText>
      </w:r>
      <w:r>
        <w:rPr>
          <w:noProof/>
        </w:rPr>
      </w:r>
      <w:r>
        <w:rPr>
          <w:noProof/>
        </w:rPr>
        <w:fldChar w:fldCharType="separate"/>
      </w:r>
      <w:r>
        <w:rPr>
          <w:noProof/>
        </w:rPr>
        <w:t>6</w:t>
      </w:r>
      <w:r>
        <w:rPr>
          <w:noProof/>
        </w:rPr>
        <w:fldChar w:fldCharType="end"/>
      </w:r>
    </w:p>
    <w:p w14:paraId="3C7EC389" w14:textId="7D6E32F5"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8909832"/>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8909833"/>
      <w:r>
        <w:t>Scope</w:t>
      </w:r>
      <w:bookmarkEnd w:id="33"/>
      <w:bookmarkEnd w:id="34"/>
    </w:p>
    <w:p w14:paraId="4DDDB6AD" w14:textId="6E173862" w:rsidR="00654B9C" w:rsidRDefault="005C01BA" w:rsidP="00DF2A42">
      <w:bookmarkStart w:id="35" w:name="_Hlk35803366"/>
      <w:r>
        <w:t xml:space="preserve">This </w:t>
      </w:r>
      <w:r w:rsidR="00C62F5E">
        <w:t>Technical Report</w:t>
      </w:r>
      <w:r>
        <w:t xml:space="preserve"> </w:t>
      </w:r>
      <w:r w:rsidR="00B36319">
        <w:t>is limited to</w:t>
      </w:r>
      <w:r w:rsidR="00F576A2">
        <w:t xml:space="preserve"> scenarios that cannot use</w:t>
      </w:r>
      <w:r>
        <w:t xml:space="preserve"> the </w:t>
      </w:r>
      <w:r w:rsidR="00D030F4">
        <w:t xml:space="preserve">currently defined </w:t>
      </w:r>
      <w:r w:rsidR="000727E2">
        <w:t>STIR/</w:t>
      </w:r>
      <w:r>
        <w:t xml:space="preserve">SHAKEN framework to </w:t>
      </w:r>
      <w:r w:rsidR="002B590F">
        <w:t xml:space="preserve">confirm that the calling party has the right to use the calling number. </w:t>
      </w:r>
      <w:bookmarkEnd w:id="35"/>
    </w:p>
    <w:p w14:paraId="7F53B7EA" w14:textId="69AD339C" w:rsidR="00305D4A" w:rsidRDefault="00424AF1" w:rsidP="00C10B26">
      <w:pPr>
        <w:pStyle w:val="Heading2"/>
      </w:pPr>
      <w:bookmarkStart w:id="36" w:name="_Toc380754203"/>
      <w:bookmarkStart w:id="37" w:name="_Toc38909834"/>
      <w:r>
        <w:t>Purpose</w:t>
      </w:r>
      <w:bookmarkEnd w:id="36"/>
      <w:bookmarkEnd w:id="37"/>
    </w:p>
    <w:p w14:paraId="05AE5C71" w14:textId="79EC7012"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EC330C">
        <w:t xml:space="preserve">. </w:t>
      </w:r>
      <w:r w:rsidR="0012069D">
        <w:t xml:space="preserve">The SHAKEN protocol specification </w:t>
      </w:r>
      <w:r w:rsidR="00EC330C">
        <w:t>[ATIS-1000074-E] describe</w:t>
      </w:r>
      <w:r w:rsidR="00F16DA0">
        <w:t>s</w:t>
      </w:r>
      <w:r w:rsidR="00EC330C">
        <w:t xml:space="preserve"> a</w:t>
      </w:r>
      <w:r w:rsidR="0012069D">
        <w:t>n authentication</w:t>
      </w:r>
      <w:r w:rsidR="00EC330C">
        <w:t xml:space="preserve"> mechanism </w:t>
      </w:r>
      <w:r w:rsidR="006B4AE9">
        <w:t xml:space="preserve">that can be invoked by </w:t>
      </w:r>
      <w:r w:rsidR="00EC330C">
        <w:t>the originating service provider</w:t>
      </w:r>
      <w:r w:rsidR="00C051D7">
        <w:t xml:space="preserve"> (OSP)</w:t>
      </w:r>
      <w:r w:rsidR="00EC330C">
        <w:t xml:space="preserve"> </w:t>
      </w:r>
      <w:r w:rsidR="006B4AE9">
        <w:t>to</w:t>
      </w:r>
      <w:r w:rsidR="00F16DA0">
        <w:t xml:space="preserve"> </w:t>
      </w:r>
      <w:r w:rsidR="006B4AE9">
        <w:t>"</w:t>
      </w:r>
      <w:r w:rsidR="00EC330C">
        <w:t>attest</w:t>
      </w:r>
      <w:r w:rsidR="006B4AE9">
        <w:t>"</w:t>
      </w:r>
      <w:r w:rsidR="00EC330C">
        <w:t xml:space="preserve"> </w:t>
      </w:r>
      <w:r w:rsidR="00901EC8">
        <w:t xml:space="preserve">to the </w:t>
      </w:r>
      <w:r w:rsidR="008B11F6">
        <w:t xml:space="preserve">legitimacy of the calling </w:t>
      </w:r>
      <w:r w:rsidR="00EC330C">
        <w:t>telephone number associated with</w:t>
      </w:r>
      <w:r w:rsidR="00901EC8">
        <w:t xml:space="preserve"> a</w:t>
      </w:r>
      <w:r w:rsidR="00EC330C">
        <w:t xml:space="preserve"> call.</w:t>
      </w:r>
    </w:p>
    <w:p w14:paraId="624EE65D" w14:textId="41E29A8D" w:rsidR="000726BA" w:rsidRDefault="000726BA" w:rsidP="000726BA">
      <w:r>
        <w:t xml:space="preserve">In this framework, the </w:t>
      </w:r>
      <w:r w:rsidR="00B87B9A">
        <w:t xml:space="preserve">OSP’s </w:t>
      </w:r>
      <w:r>
        <w:t xml:space="preserve">STI-AS creates a PASSporT </w:t>
      </w:r>
      <w:r w:rsidR="00DC6BCD">
        <w:t>and inserts</w:t>
      </w:r>
      <w:r w:rsidR="00D40DBF">
        <w:t xml:space="preserve"> </w:t>
      </w:r>
      <w:r w:rsidR="00CA27C8">
        <w:t xml:space="preserve">this </w:t>
      </w:r>
      <w:r w:rsidR="00820C9E" w:rsidRPr="00820C9E">
        <w:t>PASSporT</w:t>
      </w:r>
      <w:r w:rsidR="00820C9E">
        <w:t xml:space="preserve"> </w:t>
      </w:r>
      <w:r w:rsidR="00D40DBF">
        <w:t xml:space="preserve">in the </w:t>
      </w:r>
      <w:r w:rsidR="00966308">
        <w:t xml:space="preserve">SIP </w:t>
      </w:r>
      <w:r>
        <w:t xml:space="preserve">Identity header per </w:t>
      </w:r>
      <w:r w:rsidR="00EB79E9">
        <w:t>RFC 8224</w:t>
      </w:r>
      <w:r>
        <w:t xml:space="preserve">. </w:t>
      </w:r>
      <w:r w:rsidRPr="000726BA">
        <w:t xml:space="preserve">The </w:t>
      </w:r>
      <w:r w:rsidR="00B87B9A">
        <w:t xml:space="preserve">SIP </w:t>
      </w:r>
      <w:r w:rsidRPr="000726BA">
        <w:t xml:space="preserve">INVITE is </w:t>
      </w:r>
      <w:r w:rsidR="00CA27C8">
        <w:t xml:space="preserve">then </w:t>
      </w:r>
      <w:r w:rsidRPr="000726BA">
        <w:t xml:space="preserve">routed over the </w:t>
      </w:r>
      <w:r w:rsidR="00B87B9A">
        <w:t>network-to-network interface (</w:t>
      </w:r>
      <w:r w:rsidRPr="000726BA">
        <w:t>NNI</w:t>
      </w:r>
      <w:r w:rsidR="00B87B9A">
        <w:t>)</w:t>
      </w:r>
      <w:r w:rsidRPr="000726BA">
        <w:t xml:space="preserve"> through the standard inter-domain routing configuration</w:t>
      </w:r>
      <w:r>
        <w:t>.</w:t>
      </w:r>
    </w:p>
    <w:p w14:paraId="78866DA6" w14:textId="2D913153" w:rsidR="000726BA" w:rsidRDefault="00CA27C8" w:rsidP="000726BA">
      <w:r>
        <w:t>In</w:t>
      </w:r>
      <w:r w:rsidR="00DC7E1F">
        <w:t xml:space="preserve"> today’s PSTN </w:t>
      </w:r>
      <w:r w:rsidR="000726BA">
        <w:t xml:space="preserve">the Identity header </w:t>
      </w:r>
      <w:r>
        <w:t xml:space="preserve">may </w:t>
      </w:r>
      <w:r w:rsidR="000726BA">
        <w:t xml:space="preserve">fail to arrive at the terminating service provider’s </w:t>
      </w:r>
      <w:r>
        <w:t xml:space="preserve">(TSP’s) </w:t>
      </w:r>
      <w:r w:rsidR="000726BA">
        <w:t>network for verification by their STI-VS</w:t>
      </w:r>
      <w:r w:rsidR="00686D33">
        <w:t xml:space="preserve"> because the call does not have SIP end-to-end</w:t>
      </w:r>
      <w:r w:rsidR="000726BA">
        <w:t>.</w:t>
      </w:r>
    </w:p>
    <w:p w14:paraId="3785BEA1" w14:textId="10167125" w:rsidR="000726BA" w:rsidRDefault="00686D33" w:rsidP="000726BA">
      <w:r>
        <w:t xml:space="preserve">This Technical Report identifies </w:t>
      </w:r>
      <w:r w:rsidR="00D152AC">
        <w:t xml:space="preserve">non-IP scenarios and provides a framework for evaluation of </w:t>
      </w:r>
      <w:r w:rsidR="00DC6BF2">
        <w:t xml:space="preserve">potential mechanisms that could provide caller authentication </w:t>
      </w:r>
      <w:r w:rsidR="00400603">
        <w:t>even when the call is not SIP end-to-end</w:t>
      </w:r>
      <w:r w:rsidR="000726BA">
        <w:t>.</w:t>
      </w:r>
    </w:p>
    <w:p w14:paraId="47FF4553" w14:textId="77D7748F" w:rsidR="00257ABE" w:rsidRPr="006D403F" w:rsidRDefault="006D403F" w:rsidP="000726BA">
      <w:pPr>
        <w:rPr>
          <w:i/>
          <w:iCs/>
        </w:rPr>
      </w:pPr>
      <w:r>
        <w:rPr>
          <w:i/>
          <w:iCs/>
        </w:rPr>
        <w:t>Note: This Technical Report may include Appendices that describe some possible mechanisms.</w:t>
      </w:r>
    </w:p>
    <w:p w14:paraId="262F4A40" w14:textId="3E8321A6" w:rsidR="00424AF1" w:rsidRDefault="00424AF1" w:rsidP="0014579B">
      <w:pPr>
        <w:pStyle w:val="Heading1"/>
      </w:pPr>
      <w:bookmarkStart w:id="38" w:name="_Toc35872763"/>
      <w:bookmarkStart w:id="39" w:name="_Toc35872764"/>
      <w:bookmarkStart w:id="40" w:name="_Toc35872765"/>
      <w:bookmarkStart w:id="41" w:name="_Toc35872766"/>
      <w:bookmarkStart w:id="42" w:name="_Toc380754204"/>
      <w:bookmarkStart w:id="43" w:name="_Toc38909835"/>
      <w:bookmarkEnd w:id="38"/>
      <w:bookmarkEnd w:id="39"/>
      <w:bookmarkEnd w:id="40"/>
      <w:bookmarkEnd w:id="41"/>
      <w:r>
        <w:t>References</w:t>
      </w:r>
      <w:bookmarkEnd w:id="42"/>
      <w:bookmarkEnd w:id="43"/>
    </w:p>
    <w:p w14:paraId="5CEC62A3" w14:textId="6EEED2B6" w:rsidR="00424AF1" w:rsidRDefault="00424AF1" w:rsidP="00424AF1">
      <w:r>
        <w:t xml:space="preserve">The following standards contain provisions which, through reference in this text, constitute provisions of this </w:t>
      </w:r>
      <w:r w:rsidR="007455D6">
        <w:t>Technical Report</w:t>
      </w:r>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 xml:space="preserve">Industry Guidelines </w:t>
      </w:r>
      <w:proofErr w:type="gramStart"/>
      <w:r w:rsidRPr="00F82C95">
        <w:rPr>
          <w:i/>
          <w:iCs/>
        </w:rPr>
        <w:t>For</w:t>
      </w:r>
      <w:proofErr w:type="gramEnd"/>
      <w:r w:rsidRPr="00F82C95">
        <w:rPr>
          <w:i/>
          <w:iCs/>
        </w:rPr>
        <w:t xml:space="preserve">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AAF04BD" w:rsidR="00A3248B" w:rsidRDefault="00A3248B" w:rsidP="00B4323F">
      <w:r>
        <w:t>ATIS-1000080</w:t>
      </w:r>
      <w:r w:rsidR="00CA27C8">
        <w:t>.v002</w:t>
      </w:r>
      <w:r>
        <w:t xml:space="preserve">, </w:t>
      </w:r>
      <w:r w:rsidRPr="006E50CD">
        <w:rPr>
          <w:i/>
        </w:rPr>
        <w:t>SHAKEN: Governance Model and Certificate Management</w:t>
      </w:r>
      <w:r w:rsidR="00910CEB">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47559842"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152C9EA6" w:rsidR="003D0207" w:rsidRDefault="003D0207" w:rsidP="00B4323F">
      <w:pPr>
        <w:rPr>
          <w:vertAlign w:val="superscript"/>
        </w:rPr>
      </w:pPr>
      <w:r>
        <w:lastRenderedPageBreak/>
        <w:t>draft-ietf-stir-</w:t>
      </w:r>
      <w:r w:rsidR="006F428E">
        <w:t>oob-007</w:t>
      </w:r>
      <w:r>
        <w:t>,</w:t>
      </w:r>
      <w:r w:rsidR="005D3A6C">
        <w:t xml:space="preserve"> </w:t>
      </w:r>
      <w:r w:rsidR="006F428E" w:rsidRPr="006F428E">
        <w:rPr>
          <w:i/>
          <w:iCs/>
        </w:rPr>
        <w:t>STIR Out-of-Band Architecture and Use Cases</w:t>
      </w:r>
      <w:r>
        <w:rPr>
          <w:i/>
        </w:rPr>
        <w:t>.</w:t>
      </w:r>
      <w:r>
        <w:rPr>
          <w:vertAlign w:val="superscript"/>
        </w:rPr>
        <w:t>1</w:t>
      </w:r>
    </w:p>
    <w:p w14:paraId="75B2E1C9" w14:textId="6BCF1354" w:rsidR="006F428E" w:rsidRDefault="006F428E" w:rsidP="00B4323F">
      <w:r>
        <w:t xml:space="preserve">draft-peterson-stir-servprovider-oob-00, </w:t>
      </w:r>
      <w:r w:rsidRPr="006F428E">
        <w:rPr>
          <w:i/>
          <w:iCs/>
        </w:rPr>
        <w:t>Out-of-Band STIR for Service Providers</w:t>
      </w:r>
      <w:r>
        <w:t>.</w:t>
      </w:r>
      <w:r w:rsidR="002B6DEC" w:rsidRPr="002B6DEC">
        <w:rPr>
          <w:vertAlign w:val="superscript"/>
        </w:rPr>
        <w:t>1</w:t>
      </w:r>
    </w:p>
    <w:p w14:paraId="3BB3BE2E" w14:textId="0225733B" w:rsidR="00B4323F" w:rsidRDefault="000E686D" w:rsidP="00B4323F">
      <w:r>
        <w:t xml:space="preserve">3GPP </w:t>
      </w:r>
      <w:r w:rsidR="00B4323F">
        <w:t xml:space="preserve">TS 24.229, </w:t>
      </w:r>
      <w:r w:rsidR="00B4323F" w:rsidRPr="00C263F2">
        <w:rPr>
          <w:i/>
          <w:iCs/>
        </w:rPr>
        <w:t>IP multimedia call control protocol based on Session Initiation Protocol (SIP) and Session Description Protocol (SDP).</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4" w:name="_Toc380754205"/>
      <w:bookmarkStart w:id="45" w:name="_Toc38909836"/>
      <w:r>
        <w:t>Definitions, Acronyms, &amp; Abbreviations</w:t>
      </w:r>
      <w:bookmarkEnd w:id="44"/>
      <w:bookmarkEnd w:id="45"/>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6" w:name="_Toc380754206"/>
      <w:bookmarkStart w:id="47" w:name="_Toc38909837"/>
      <w:r>
        <w:t>Definitions</w:t>
      </w:r>
      <w:bookmarkEnd w:id="46"/>
      <w:bookmarkEnd w:id="47"/>
    </w:p>
    <w:p w14:paraId="0F4144A0" w14:textId="43A82F03" w:rsidR="008C2BF6" w:rsidRDefault="008C2BF6" w:rsidP="008C2BF6">
      <w:r>
        <w:t>The following provides some key definitions used in this document.</w:t>
      </w:r>
    </w:p>
    <w:p w14:paraId="69619671" w14:textId="6A44D8DD" w:rsidR="008C2BF6" w:rsidRDefault="008C2BF6" w:rsidP="008C2BF6">
      <w:r w:rsidRPr="6FB4F7A3">
        <w:rPr>
          <w:b/>
          <w:bCs/>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64211ED9" w14:textId="3BFFF195" w:rsidR="5B759D6C" w:rsidRDefault="5B759D6C" w:rsidP="6FB4F7A3">
      <w:pPr>
        <w:rPr>
          <w:b/>
          <w:bCs/>
        </w:rPr>
      </w:pPr>
      <w:r w:rsidRPr="6FB4F7A3">
        <w:rPr>
          <w:b/>
          <w:bCs/>
        </w:rPr>
        <w:t xml:space="preserve">Call Placement Service (CPS): </w:t>
      </w:r>
      <w:r w:rsidR="326834D3" w:rsidRPr="6FB4F7A3">
        <w:rPr>
          <w:b/>
          <w:bCs/>
        </w:rPr>
        <w:t xml:space="preserve"> </w:t>
      </w:r>
      <w:r w:rsidR="326834D3" w:rsidRPr="008C3657">
        <w:t>A</w:t>
      </w:r>
      <w:r w:rsidR="326834D3">
        <w:t xml:space="preserve"> device that</w:t>
      </w:r>
      <w:r w:rsidR="020772C0">
        <w:t xml:space="preserve"> can receive a SHAKEN </w:t>
      </w:r>
      <w:r w:rsidR="00CA27C8">
        <w:t>PASSporT</w:t>
      </w:r>
      <w:r w:rsidR="020772C0">
        <w:t xml:space="preserve"> </w:t>
      </w:r>
      <w:r w:rsidR="0F547EC0">
        <w:t>from a call source</w:t>
      </w:r>
      <w:r w:rsidR="7FFC2ADF">
        <w:t>,</w:t>
      </w:r>
      <w:r w:rsidR="0F547EC0">
        <w:t xml:space="preserve"> for retrieval by the call destination’s STI-VS.</w:t>
      </w:r>
      <w:r w:rsidR="020772C0">
        <w:t xml:space="preserve"> </w:t>
      </w:r>
      <w:r w:rsidR="78C22AA1" w:rsidRPr="00CA27C8">
        <w:t>(</w:t>
      </w:r>
      <w:r w:rsidR="326834D3" w:rsidRPr="00C04CB2">
        <w:rPr>
          <w:rFonts w:eastAsia="Arial" w:cs="Arial"/>
        </w:rPr>
        <w:t>draft-ietf-stir-oob-07</w:t>
      </w:r>
      <w:r w:rsidR="3C20F1C7" w:rsidRPr="00C04CB2">
        <w:rPr>
          <w:rFonts w:eastAsia="Arial" w:cs="Arial"/>
        </w:rPr>
        <w:t>)</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76E6C0B7" w:rsidR="008C2BF6" w:rsidRDefault="008C2BF6" w:rsidP="008C2BF6">
      <w:r w:rsidRPr="006E50CD">
        <w:rPr>
          <w:b/>
        </w:rPr>
        <w:t>Chain of Trust:</w:t>
      </w:r>
      <w:r>
        <w:t xml:space="preserve"> Deprecated term referring to the chain of certificates to a </w:t>
      </w:r>
      <w:r w:rsidR="00AB2C61">
        <w:t>trust anchor</w:t>
      </w:r>
      <w:r w:rsidR="00001BA9">
        <w:t xml:space="preserve">.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23B8E849" w:rsidR="00C270D2" w:rsidRDefault="00C270D2" w:rsidP="00C270D2">
      <w:r w:rsidRPr="6FB4F7A3">
        <w:rPr>
          <w:b/>
          <w:bCs/>
        </w:rPr>
        <w:t>Company Code:</w:t>
      </w:r>
      <w:r>
        <w:t xml:space="preserve"> A unique four-character alphanumeric code (NXXX) assigned to all Service Providers [ATIS-0300251].</w:t>
      </w:r>
      <w:r w:rsidR="1881FBD5">
        <w:t xml:space="preserve"> (see </w:t>
      </w:r>
      <w:r w:rsidR="33A961B5">
        <w:t>Operating Company Number)</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6E80761E"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 xml:space="preserve">user (such as </w:t>
      </w:r>
      <w:r w:rsidR="00CA27C8">
        <w:t>”sip</w:t>
      </w:r>
      <w:r>
        <w:t>:alice@atlanta.example.</w:t>
      </w:r>
      <w:r w:rsidR="00CA27C8">
        <w:t>com”</w:t>
      </w:r>
      <w:r>
        <w:t>), or a telephone number, which commonly appears in either a TEL</w:t>
      </w:r>
      <w:r w:rsidR="00632E4F">
        <w:t xml:space="preserve"> </w:t>
      </w:r>
      <w:r>
        <w:t>URI [RFC 3966] or as the user portion of a SIP URI. See also Ca</w:t>
      </w:r>
      <w:r w:rsidR="009B7588">
        <w:t>ller ID [RFC 8224</w:t>
      </w:r>
      <w:r>
        <w:t>].</w:t>
      </w:r>
    </w:p>
    <w:p w14:paraId="3179C629" w14:textId="4FCA6544" w:rsidR="6004A813" w:rsidRDefault="6004A813" w:rsidP="6FB4F7A3">
      <w:r w:rsidRPr="6FB4F7A3">
        <w:rPr>
          <w:b/>
          <w:bCs/>
        </w:rPr>
        <w:t>Operating Company Number (OCN)</w:t>
      </w:r>
      <w:r w:rsidR="00CA27C8">
        <w:rPr>
          <w:b/>
          <w:bCs/>
        </w:rPr>
        <w:t>:</w:t>
      </w:r>
      <w:r w:rsidRPr="6FB4F7A3">
        <w:rPr>
          <w:b/>
          <w:bCs/>
        </w:rPr>
        <w:t xml:space="preserve"> </w:t>
      </w:r>
      <w:r w:rsidR="528CA797" w:rsidRPr="6FB4F7A3">
        <w:rPr>
          <w:b/>
          <w:bCs/>
        </w:rPr>
        <w:t xml:space="preserve"> </w:t>
      </w:r>
      <w:r w:rsidR="528CA797">
        <w:t>A unique four-character alphanumeric code (NXXX) assigned to all Service Providers [ATIS-0300251]</w:t>
      </w:r>
      <w:r w:rsidR="00AB2C61">
        <w:t>.</w:t>
      </w:r>
      <w:r w:rsidR="528CA797">
        <w:t xml:space="preserve"> (see Company Code)</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514043D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p>
    <w:p w14:paraId="23016005" w14:textId="71C25FB2"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00E33CFA">
        <w:rPr>
          <w:color w:val="000000" w:themeColor="text1"/>
        </w:rPr>
        <w:t>a</w:t>
      </w:r>
      <w:r w:rsidR="00E33CFA" w:rsidRPr="00D2002F">
        <w:rPr>
          <w:color w:val="000000" w:themeColor="text1"/>
        </w:rPr>
        <w:t xml:space="preserve"> </w:t>
      </w:r>
      <w:r w:rsidRPr="00D2002F">
        <w:rPr>
          <w:color w:val="000000" w:themeColor="text1"/>
        </w:rPr>
        <w:t>PASSporT.</w:t>
      </w:r>
    </w:p>
    <w:p w14:paraId="495B61FD" w14:textId="37D63735"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w:t>
      </w:r>
      <w:r w:rsidR="00AB2C61">
        <w:rPr>
          <w:color w:val="000000" w:themeColor="text1"/>
        </w:rPr>
        <w:t>.</w:t>
      </w:r>
      <w:r w:rsidRPr="00D2002F">
        <w:rPr>
          <w:color w:val="000000" w:themeColor="text1"/>
        </w:rPr>
        <w:t>S</w:t>
      </w:r>
      <w:r w:rsidR="00AB2C61">
        <w:rPr>
          <w:color w:val="000000" w:themeColor="text1"/>
        </w:rPr>
        <w:t>.</w:t>
      </w:r>
      <w:r w:rsidRPr="00D2002F">
        <w:rPr>
          <w:color w:val="000000" w:themeColor="text1"/>
        </w:rPr>
        <w:t xml:space="preserve"> and Canada</w:t>
      </w:r>
      <w:r w:rsidR="00AB2C61">
        <w:rPr>
          <w:color w:val="000000" w:themeColor="text1"/>
        </w:rPr>
        <w:t>,</w:t>
      </w:r>
      <w:r w:rsidRPr="00D2002F">
        <w:rPr>
          <w:color w:val="000000" w:themeColor="text1"/>
        </w:rPr>
        <w:t xml:space="preserve">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8909838"/>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6FB4F7A3">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6FB4F7A3">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6FB4F7A3">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6FB4F7A3">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6FB4F7A3">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lastRenderedPageBreak/>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6FB4F7A3">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336EEE9B" w:rsidR="001B214F" w:rsidRPr="00AC1BC8" w:rsidRDefault="37ECF91E" w:rsidP="002052EE">
            <w:pPr>
              <w:rPr>
                <w:sz w:val="18"/>
                <w:szCs w:val="18"/>
              </w:rPr>
            </w:pPr>
            <w:r w:rsidRPr="6FB4F7A3">
              <w:rPr>
                <w:sz w:val="18"/>
                <w:szCs w:val="18"/>
              </w:rPr>
              <w:t>Session Initiation Protocol</w:t>
            </w:r>
          </w:p>
        </w:tc>
      </w:tr>
      <w:tr w:rsidR="001B214F" w:rsidRPr="001F2162" w14:paraId="4F33E504" w14:textId="77777777" w:rsidTr="6FB4F7A3">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6FB4F7A3">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6FB4F7A3">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632FF436" w:rsidR="001B214F" w:rsidRPr="00AC1BC8" w:rsidRDefault="001B214F" w:rsidP="002052EE">
            <w:pPr>
              <w:rPr>
                <w:sz w:val="18"/>
                <w:szCs w:val="18"/>
              </w:rPr>
            </w:pPr>
            <w:r w:rsidRPr="00CA69D0">
              <w:rPr>
                <w:sz w:val="18"/>
                <w:szCs w:val="18"/>
              </w:rPr>
              <w:t xml:space="preserve">Service Provider </w:t>
            </w:r>
            <w:proofErr w:type="spellStart"/>
            <w:r w:rsidR="00AB2C61" w:rsidRPr="00CA69D0">
              <w:rPr>
                <w:sz w:val="18"/>
                <w:szCs w:val="18"/>
              </w:rPr>
              <w:t>I</w:t>
            </w:r>
            <w:r w:rsidR="00AB2C61">
              <w:rPr>
                <w:sz w:val="18"/>
                <w:szCs w:val="18"/>
              </w:rPr>
              <w:t>D</w:t>
            </w:r>
            <w:r w:rsidR="00AB2C61" w:rsidRPr="00CA69D0">
              <w:rPr>
                <w:sz w:val="18"/>
                <w:szCs w:val="18"/>
              </w:rPr>
              <w:t>entifier</w:t>
            </w:r>
            <w:proofErr w:type="spellEnd"/>
          </w:p>
        </w:tc>
      </w:tr>
      <w:tr w:rsidR="001B214F" w:rsidRPr="001F2162" w14:paraId="5AA08874" w14:textId="77777777" w:rsidTr="6FB4F7A3">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6FB4F7A3">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6FB4F7A3">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6FB4F7A3">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6FB4F7A3">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6FB4F7A3">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6FB4F7A3">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6FB4F7A3">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6FB4F7A3">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6FB4F7A3">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6FB4F7A3">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6FB4F7A3">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6FB4F7A3">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03B92CD9" w:rsidR="001B214F" w:rsidRDefault="001B214F" w:rsidP="002052EE">
            <w:pPr>
              <w:rPr>
                <w:sz w:val="18"/>
                <w:szCs w:val="18"/>
              </w:rPr>
            </w:pPr>
            <w:r>
              <w:rPr>
                <w:sz w:val="18"/>
                <w:szCs w:val="18"/>
              </w:rPr>
              <w:t xml:space="preserve">Universally Unique </w:t>
            </w:r>
            <w:proofErr w:type="spellStart"/>
            <w:r w:rsidR="00E33CFA">
              <w:rPr>
                <w:sz w:val="18"/>
                <w:szCs w:val="18"/>
              </w:rPr>
              <w:t>IDentifier</w:t>
            </w:r>
            <w:proofErr w:type="spellEnd"/>
          </w:p>
        </w:tc>
      </w:tr>
      <w:tr w:rsidR="001B214F" w:rsidRPr="001F2162" w14:paraId="5F5EFCE7" w14:textId="77777777" w:rsidTr="6FB4F7A3">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4579B">
      <w:pPr>
        <w:pStyle w:val="Heading1"/>
      </w:pPr>
      <w:r>
        <w:br w:type="page"/>
      </w:r>
      <w:bookmarkStart w:id="50" w:name="_Toc380754208"/>
      <w:bookmarkStart w:id="51" w:name="_Toc38909839"/>
      <w:r w:rsidR="00D50286">
        <w:lastRenderedPageBreak/>
        <w:t>Overview</w:t>
      </w:r>
      <w:bookmarkEnd w:id="50"/>
      <w:bookmarkEnd w:id="51"/>
    </w:p>
    <w:p w14:paraId="2246B860" w14:textId="2D3ADEF4" w:rsidR="000F31F1" w:rsidRDefault="00A26B68" w:rsidP="00997D19">
      <w:pPr>
        <w:pStyle w:val="Heading2"/>
      </w:pPr>
      <w:bookmarkStart w:id="52" w:name="_Toc38909840"/>
      <w:r>
        <w:t>Problem Statement</w:t>
      </w:r>
      <w:bookmarkEnd w:id="52"/>
    </w:p>
    <w:p w14:paraId="3AD25F7C" w14:textId="55189729" w:rsidR="00247BDC" w:rsidRDefault="00247BDC" w:rsidP="001F68D0">
      <w:r>
        <w:t>STIR/SHAKEN describes a framework for originating service providers to create a</w:t>
      </w:r>
      <w:r w:rsidR="00842052">
        <w:t xml:space="preserve"> SHAKEN</w:t>
      </w:r>
      <w:r>
        <w:t xml:space="preserve"> </w:t>
      </w:r>
      <w:r w:rsidR="00842052">
        <w:t xml:space="preserve">PASSporT </w:t>
      </w:r>
      <w:r>
        <w:t>that can be carried by the SIP signaling protocol to cryptographically attest the identity of callers.</w:t>
      </w:r>
    </w:p>
    <w:p w14:paraId="5E870786" w14:textId="14C0E646" w:rsidR="00247BDC" w:rsidRDefault="00247BDC" w:rsidP="001F68D0">
      <w:r>
        <w:t xml:space="preserve">Not all telephone calls use </w:t>
      </w:r>
      <w:r w:rsidR="00AB2C61">
        <w:t>SIP</w:t>
      </w:r>
      <w:r w:rsidR="00D63C56">
        <w:t xml:space="preserve"> signaling</w:t>
      </w:r>
      <w:r w:rsidR="00170973">
        <w:t xml:space="preserve"> end-to-end</w:t>
      </w:r>
      <w:r>
        <w:t xml:space="preserve">. Some calls use </w:t>
      </w:r>
      <w:r w:rsidR="00AB2C61">
        <w:t>S</w:t>
      </w:r>
      <w:r w:rsidR="001D13D2">
        <w:t xml:space="preserve">IP </w:t>
      </w:r>
      <w:r>
        <w:t>for only part of their signaling path</w:t>
      </w:r>
      <w:r w:rsidR="00E33CFA">
        <w:t xml:space="preserve">, and some </w:t>
      </w:r>
      <w:r w:rsidR="004D32A1">
        <w:t>calls that originate and terminate as SIP may have non</w:t>
      </w:r>
      <w:r w:rsidR="00A529B0">
        <w:t>-</w:t>
      </w:r>
      <w:r>
        <w:t xml:space="preserve">IP </w:t>
      </w:r>
      <w:r w:rsidR="00A529B0">
        <w:t>signaling for part of the path</w:t>
      </w:r>
      <w:r>
        <w:t xml:space="preserve">. </w:t>
      </w:r>
    </w:p>
    <w:p w14:paraId="422CB3F4" w14:textId="181660C4" w:rsidR="0014579B" w:rsidRDefault="00A25D45" w:rsidP="001F68D0">
      <w:r>
        <w:t xml:space="preserve">Meanwhile, requirements for call authentication are on a much faster pace. Legislation has been signed into law to require STIR/SHAKEN in </w:t>
      </w:r>
      <w:r w:rsidR="008715E0">
        <w:t xml:space="preserve">VoIP </w:t>
      </w:r>
      <w:r>
        <w:t>networks and reasonable measures for call authentication in non-IP networks.</w:t>
      </w:r>
    </w:p>
    <w:p w14:paraId="2D8B03FD" w14:textId="29B02B15" w:rsidR="004630B7" w:rsidRDefault="00A83962" w:rsidP="001F68D0">
      <w:r>
        <w:t xml:space="preserve">STIR/SHAKEN </w:t>
      </w:r>
      <w:r w:rsidR="008B1BC3">
        <w:t xml:space="preserve">is based on a </w:t>
      </w:r>
      <w:r w:rsidR="00466EBA">
        <w:t>well-defined</w:t>
      </w:r>
      <w:r w:rsidR="008B1BC3">
        <w:t xml:space="preserve"> scenario -</w:t>
      </w:r>
      <w:r>
        <w:t xml:space="preserve"> SIP end-to-end</w:t>
      </w:r>
      <w:r w:rsidR="008B1BC3">
        <w:t xml:space="preserve">. </w:t>
      </w:r>
      <w:r w:rsidR="00E76461">
        <w:t>Evaluating</w:t>
      </w:r>
      <w:r w:rsidR="00C66887">
        <w:t xml:space="preserve"> non-IP </w:t>
      </w:r>
      <w:r w:rsidR="00E76461">
        <w:t>is not</w:t>
      </w:r>
      <w:r w:rsidR="00C66887">
        <w:t xml:space="preserve"> </w:t>
      </w:r>
      <w:r w:rsidR="00E76461">
        <w:t>as</w:t>
      </w:r>
      <w:r w:rsidR="00C66887">
        <w:t xml:space="preserve"> simple, since </w:t>
      </w:r>
      <w:r w:rsidR="00F97189">
        <w:t>t</w:t>
      </w:r>
      <w:r w:rsidR="00C66887">
        <w:t xml:space="preserve">here are many </w:t>
      </w:r>
      <w:r w:rsidR="00721E6F">
        <w:t xml:space="preserve">different things that could </w:t>
      </w:r>
      <w:r w:rsidR="00E76461">
        <w:t>disrupt</w:t>
      </w:r>
      <w:r w:rsidR="00721E6F">
        <w:t xml:space="preserve"> the end-to-end SIP path.  </w:t>
      </w:r>
      <w:r w:rsidR="00E76461">
        <w:t xml:space="preserve">The </w:t>
      </w:r>
      <w:r w:rsidR="002B5A50">
        <w:t xml:space="preserve">Originating Service Provider (OSP) could have a TDM network, the Terminating Service Provider </w:t>
      </w:r>
      <w:r w:rsidR="003A1BAF">
        <w:t xml:space="preserve">(TSP) </w:t>
      </w:r>
      <w:r w:rsidR="002B5A50">
        <w:t>could have</w:t>
      </w:r>
      <w:r w:rsidR="003A1BAF">
        <w:t xml:space="preserve"> </w:t>
      </w:r>
      <w:r w:rsidR="003B688D">
        <w:t xml:space="preserve">a TDM network, or </w:t>
      </w:r>
      <w:r w:rsidR="00444D81">
        <w:t xml:space="preserve">one or more TDM transport links could be used </w:t>
      </w:r>
      <w:r w:rsidR="00A87A1F">
        <w:t xml:space="preserve">to interconnect </w:t>
      </w:r>
      <w:r w:rsidR="00414899">
        <w:t xml:space="preserve">a </w:t>
      </w:r>
      <w:r w:rsidR="00A87A1F">
        <w:t>SIP-based OSP and TSP.</w:t>
      </w:r>
      <w:r w:rsidR="000C1E8A">
        <w:t xml:space="preserve"> Each of these scenarios could have a different architecture and</w:t>
      </w:r>
      <w:r w:rsidR="00773DD9">
        <w:t xml:space="preserve"> requirements. </w:t>
      </w:r>
      <w:r w:rsidR="00E6392F">
        <w:t>Therefore,</w:t>
      </w:r>
      <w:r w:rsidR="00773DD9">
        <w:t xml:space="preserve"> it is important to consider each separately</w:t>
      </w:r>
      <w:r w:rsidR="008E18E3">
        <w:t xml:space="preserve"> to determine if/how </w:t>
      </w:r>
      <w:r w:rsidR="0028492B">
        <w:t>call authentication can be provided in a way that complements STIR/SHAKEN</w:t>
      </w:r>
      <w:r w:rsidR="00773DD9">
        <w:t>.</w:t>
      </w:r>
    </w:p>
    <w:p w14:paraId="455A91AB" w14:textId="490F4C17" w:rsidR="007A7D8B" w:rsidRDefault="007A7D8B" w:rsidP="0014579B"/>
    <w:p w14:paraId="33380A61" w14:textId="767D407B" w:rsidR="00F82477" w:rsidRPr="00D2002F" w:rsidRDefault="00B465D4" w:rsidP="00D2002F">
      <w:pPr>
        <w:pStyle w:val="Heading2"/>
        <w:rPr>
          <w:color w:val="000000" w:themeColor="text1"/>
        </w:rPr>
      </w:pPr>
      <w:bookmarkStart w:id="53" w:name="_Toc38909841"/>
      <w:r>
        <w:rPr>
          <w:color w:val="000000" w:themeColor="text1"/>
        </w:rPr>
        <w:t>Objective</w:t>
      </w:r>
      <w:bookmarkEnd w:id="53"/>
    </w:p>
    <w:p w14:paraId="5FCFF448" w14:textId="561E2454" w:rsidR="00B465D4" w:rsidRDefault="00B465D4" w:rsidP="008C3657">
      <w:pPr>
        <w:spacing w:before="0" w:after="0"/>
        <w:rPr>
          <w:color w:val="000000" w:themeColor="text1"/>
        </w:rPr>
      </w:pPr>
      <w:r>
        <w:rPr>
          <w:color w:val="000000" w:themeColor="text1"/>
        </w:rPr>
        <w:t xml:space="preserve">The objective of this Technical Report is to </w:t>
      </w:r>
      <w:r w:rsidR="00721889">
        <w:rPr>
          <w:color w:val="000000" w:themeColor="text1"/>
        </w:rPr>
        <w:t>do the following:</w:t>
      </w:r>
    </w:p>
    <w:p w14:paraId="5D647CDC" w14:textId="71E678F0" w:rsidR="00721889" w:rsidRDefault="00D83C7C" w:rsidP="00721889">
      <w:pPr>
        <w:pStyle w:val="ListParagraph"/>
        <w:numPr>
          <w:ilvl w:val="0"/>
          <w:numId w:val="40"/>
        </w:numPr>
        <w:spacing w:before="0" w:after="0"/>
        <w:rPr>
          <w:color w:val="000000" w:themeColor="text1"/>
        </w:rPr>
      </w:pPr>
      <w:r>
        <w:rPr>
          <w:color w:val="000000" w:themeColor="text1"/>
        </w:rPr>
        <w:t xml:space="preserve">Provide architectural descriptions of non-IP scenarios that </w:t>
      </w:r>
      <w:r w:rsidR="00C86837">
        <w:rPr>
          <w:color w:val="000000" w:themeColor="text1"/>
        </w:rPr>
        <w:t>do not support SIP end-to-end.</w:t>
      </w:r>
    </w:p>
    <w:p w14:paraId="31BA8B92" w14:textId="16DA1FCE" w:rsidR="00C86837" w:rsidRDefault="000F4D97" w:rsidP="00721889">
      <w:pPr>
        <w:pStyle w:val="ListParagraph"/>
        <w:numPr>
          <w:ilvl w:val="0"/>
          <w:numId w:val="40"/>
        </w:numPr>
        <w:spacing w:before="0" w:after="0"/>
        <w:rPr>
          <w:color w:val="000000" w:themeColor="text1"/>
        </w:rPr>
      </w:pPr>
      <w:r>
        <w:rPr>
          <w:color w:val="000000" w:themeColor="text1"/>
        </w:rPr>
        <w:t>Identify mech</w:t>
      </w:r>
      <w:r w:rsidR="00774EF7">
        <w:rPr>
          <w:color w:val="000000" w:themeColor="text1"/>
        </w:rPr>
        <w:t xml:space="preserve">anisms that could potentially provide </w:t>
      </w:r>
      <w:r w:rsidR="00F30FD0">
        <w:rPr>
          <w:color w:val="000000" w:themeColor="text1"/>
        </w:rPr>
        <w:t>call authentication for these non-IP scenarios</w:t>
      </w:r>
      <w:r w:rsidR="00CB7DB5">
        <w:rPr>
          <w:color w:val="000000" w:themeColor="text1"/>
        </w:rPr>
        <w:t>.</w:t>
      </w:r>
    </w:p>
    <w:p w14:paraId="4902D28A" w14:textId="40647B43" w:rsidR="00CB7DB5" w:rsidRDefault="00CB7DB5" w:rsidP="00721889">
      <w:pPr>
        <w:pStyle w:val="ListParagraph"/>
        <w:numPr>
          <w:ilvl w:val="0"/>
          <w:numId w:val="40"/>
        </w:numPr>
        <w:spacing w:before="0" w:after="0"/>
        <w:rPr>
          <w:color w:val="000000" w:themeColor="text1"/>
        </w:rPr>
      </w:pPr>
      <w:r>
        <w:rPr>
          <w:color w:val="000000" w:themeColor="text1"/>
        </w:rPr>
        <w:t xml:space="preserve">Propose </w:t>
      </w:r>
      <w:r w:rsidR="00140EEE">
        <w:rPr>
          <w:color w:val="000000" w:themeColor="text1"/>
        </w:rPr>
        <w:t>factors that could be considered when evaluating mechanisms for providing call authentication for non-IP connections.</w:t>
      </w:r>
    </w:p>
    <w:p w14:paraId="0BE91004" w14:textId="276C1000" w:rsidR="00140EEE" w:rsidRDefault="00140EEE" w:rsidP="00140EEE">
      <w:pPr>
        <w:spacing w:before="0" w:after="0"/>
        <w:rPr>
          <w:color w:val="000000" w:themeColor="text1"/>
        </w:rPr>
      </w:pPr>
    </w:p>
    <w:p w14:paraId="77AE89EB" w14:textId="3B6413C5" w:rsidR="005B62F9" w:rsidRDefault="005B62F9" w:rsidP="00DE1B9C">
      <w:pPr>
        <w:spacing w:before="0" w:after="0"/>
        <w:ind w:left="360"/>
        <w:rPr>
          <w:color w:val="000000" w:themeColor="text1"/>
        </w:rPr>
      </w:pPr>
      <w:r>
        <w:rPr>
          <w:color w:val="000000" w:themeColor="text1"/>
        </w:rPr>
        <w:t xml:space="preserve">Editor’s Note: Interactions with diversion, </w:t>
      </w:r>
      <w:r w:rsidR="00E533EB">
        <w:rPr>
          <w:color w:val="000000" w:themeColor="text1"/>
        </w:rPr>
        <w:t>RPH</w:t>
      </w:r>
      <w:r>
        <w:rPr>
          <w:color w:val="000000" w:themeColor="text1"/>
        </w:rPr>
        <w:t xml:space="preserve">, and RCD could be considered. Contributions are invited. </w:t>
      </w:r>
    </w:p>
    <w:p w14:paraId="69240CA7" w14:textId="77777777" w:rsidR="005B62F9" w:rsidRPr="00140EEE" w:rsidRDefault="005B62F9" w:rsidP="00140EEE">
      <w:pPr>
        <w:spacing w:before="0" w:after="0"/>
        <w:rPr>
          <w:color w:val="000000" w:themeColor="text1"/>
        </w:rPr>
      </w:pPr>
    </w:p>
    <w:p w14:paraId="6F8730E1" w14:textId="39C5AACC" w:rsidR="00140EEE" w:rsidRPr="00D2002F" w:rsidRDefault="00B50BA1" w:rsidP="00140EEE">
      <w:pPr>
        <w:pStyle w:val="Heading2"/>
        <w:rPr>
          <w:color w:val="000000" w:themeColor="text1"/>
        </w:rPr>
      </w:pPr>
      <w:bookmarkStart w:id="54" w:name="_Toc38909842"/>
      <w:r>
        <w:rPr>
          <w:color w:val="000000" w:themeColor="text1"/>
        </w:rPr>
        <w:t xml:space="preserve">Evaluation of </w:t>
      </w:r>
      <w:r w:rsidR="007104D7">
        <w:rPr>
          <w:color w:val="000000" w:themeColor="text1"/>
        </w:rPr>
        <w:t>Non-IP Call Authentication Mechanisms</w:t>
      </w:r>
      <w:bookmarkEnd w:id="54"/>
    </w:p>
    <w:p w14:paraId="250F54DA" w14:textId="79A8AE51" w:rsidR="00073C33" w:rsidRDefault="00140EEE" w:rsidP="00140EEE">
      <w:pPr>
        <w:spacing w:before="0" w:after="0"/>
        <w:rPr>
          <w:color w:val="000000" w:themeColor="text1"/>
        </w:rPr>
      </w:pPr>
      <w:r>
        <w:rPr>
          <w:color w:val="000000" w:themeColor="text1"/>
        </w:rPr>
        <w:t xml:space="preserve">The </w:t>
      </w:r>
      <w:r w:rsidR="007104D7">
        <w:rPr>
          <w:color w:val="000000" w:themeColor="text1"/>
        </w:rPr>
        <w:t xml:space="preserve">following principles should be considered when evaluating </w:t>
      </w:r>
      <w:r w:rsidR="00F26909">
        <w:rPr>
          <w:color w:val="000000" w:themeColor="text1"/>
        </w:rPr>
        <w:t>mechanisms for providing call authentication wh</w:t>
      </w:r>
      <w:r w:rsidR="00073C33">
        <w:rPr>
          <w:color w:val="000000" w:themeColor="text1"/>
        </w:rPr>
        <w:t>ere end-to-end SIP is not available</w:t>
      </w:r>
      <w:r w:rsidR="006B0A1C">
        <w:rPr>
          <w:color w:val="000000" w:themeColor="text1"/>
        </w:rPr>
        <w:t>:</w:t>
      </w:r>
    </w:p>
    <w:p w14:paraId="0F4C8034" w14:textId="07E6E7D5" w:rsidR="00073C33" w:rsidRPr="00073C33" w:rsidRDefault="0053399D" w:rsidP="00073C33">
      <w:pPr>
        <w:numPr>
          <w:ilvl w:val="0"/>
          <w:numId w:val="41"/>
        </w:numPr>
        <w:spacing w:before="0" w:after="0"/>
        <w:rPr>
          <w:color w:val="000000" w:themeColor="text1"/>
          <w:lang w:val="en-CA"/>
        </w:rPr>
      </w:pPr>
      <w:r>
        <w:rPr>
          <w:color w:val="000000" w:themeColor="text1"/>
        </w:rPr>
        <w:t>S</w:t>
      </w:r>
      <w:r w:rsidR="00BB23F7">
        <w:rPr>
          <w:color w:val="000000" w:themeColor="text1"/>
        </w:rPr>
        <w:t>hould s</w:t>
      </w:r>
      <w:r w:rsidR="00073C33" w:rsidRPr="00073C33">
        <w:rPr>
          <w:color w:val="000000" w:themeColor="text1"/>
        </w:rPr>
        <w:t>upport “call authentication” for TDM service providers</w:t>
      </w:r>
    </w:p>
    <w:p w14:paraId="04DF100E" w14:textId="58FB2580" w:rsidR="00073C33" w:rsidRPr="00073C33" w:rsidRDefault="0053399D" w:rsidP="00073C33">
      <w:pPr>
        <w:numPr>
          <w:ilvl w:val="0"/>
          <w:numId w:val="41"/>
        </w:numPr>
        <w:spacing w:before="0" w:after="0"/>
        <w:rPr>
          <w:color w:val="000000" w:themeColor="text1"/>
          <w:lang w:val="en-CA"/>
        </w:rPr>
      </w:pPr>
      <w:r>
        <w:rPr>
          <w:color w:val="000000" w:themeColor="text1"/>
        </w:rPr>
        <w:t>S</w:t>
      </w:r>
      <w:r w:rsidR="00BB23F7">
        <w:rPr>
          <w:color w:val="000000" w:themeColor="text1"/>
        </w:rPr>
        <w:t>hould s</w:t>
      </w:r>
      <w:r w:rsidR="00073C33" w:rsidRPr="00073C33">
        <w:rPr>
          <w:color w:val="000000" w:themeColor="text1"/>
        </w:rPr>
        <w:t>upport hybrid-technology calls:</w:t>
      </w:r>
    </w:p>
    <w:p w14:paraId="7C778F4C"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SIP =&gt; TDM</w:t>
      </w:r>
    </w:p>
    <w:p w14:paraId="11C148E1"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TDM =&gt; SIP</w:t>
      </w:r>
    </w:p>
    <w:p w14:paraId="3F15935D"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SIP =&gt; TDM =&gt; SIP</w:t>
      </w:r>
    </w:p>
    <w:p w14:paraId="39C33665" w14:textId="70C230A7" w:rsidR="00073C33" w:rsidRPr="00073C33" w:rsidRDefault="00BB23F7" w:rsidP="00073C33">
      <w:pPr>
        <w:numPr>
          <w:ilvl w:val="0"/>
          <w:numId w:val="41"/>
        </w:numPr>
        <w:spacing w:before="0" w:after="0"/>
        <w:rPr>
          <w:color w:val="000000" w:themeColor="text1"/>
          <w:lang w:val="en-CA"/>
        </w:rPr>
      </w:pPr>
      <w:r>
        <w:rPr>
          <w:color w:val="000000" w:themeColor="text1"/>
        </w:rPr>
        <w:t>Should n</w:t>
      </w:r>
      <w:r w:rsidR="00073C33" w:rsidRPr="00073C33">
        <w:rPr>
          <w:color w:val="000000" w:themeColor="text1"/>
        </w:rPr>
        <w:t>ot impede transition to all-IP (e.g., no lingering functionality or disincentives</w:t>
      </w:r>
      <w:r w:rsidR="0090563A">
        <w:rPr>
          <w:color w:val="000000" w:themeColor="text1"/>
        </w:rPr>
        <w:t xml:space="preserve"> for completing the transition</w:t>
      </w:r>
      <w:r w:rsidR="00073C33" w:rsidRPr="00073C33">
        <w:rPr>
          <w:color w:val="000000" w:themeColor="text1"/>
        </w:rPr>
        <w:t>)</w:t>
      </w:r>
    </w:p>
    <w:p w14:paraId="110A91D8" w14:textId="01E95CA5" w:rsidR="00073C33" w:rsidRPr="00073C33" w:rsidRDefault="00073C33" w:rsidP="00073C33">
      <w:pPr>
        <w:numPr>
          <w:ilvl w:val="0"/>
          <w:numId w:val="41"/>
        </w:numPr>
        <w:spacing w:before="0" w:after="0"/>
        <w:rPr>
          <w:color w:val="000000" w:themeColor="text1"/>
          <w:lang w:val="en-CA"/>
        </w:rPr>
      </w:pPr>
      <w:r w:rsidRPr="00073C33">
        <w:rPr>
          <w:color w:val="000000" w:themeColor="text1"/>
        </w:rPr>
        <w:t>Complement SHAKEN, rather than duplicate or compete</w:t>
      </w:r>
      <w:r w:rsidR="00F33730">
        <w:rPr>
          <w:color w:val="000000" w:themeColor="text1"/>
        </w:rPr>
        <w:t>. This would include things like:</w:t>
      </w:r>
    </w:p>
    <w:p w14:paraId="5D89B414"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Use standard SHAKEN PASSporT</w:t>
      </w:r>
    </w:p>
    <w:p w14:paraId="06CE4E58" w14:textId="77777777" w:rsidR="00073C33" w:rsidRPr="00073C33" w:rsidRDefault="00073C33" w:rsidP="00073C33">
      <w:pPr>
        <w:numPr>
          <w:ilvl w:val="1"/>
          <w:numId w:val="41"/>
        </w:numPr>
        <w:spacing w:before="0" w:after="0"/>
        <w:rPr>
          <w:color w:val="000000" w:themeColor="text1"/>
          <w:lang w:val="en-CA"/>
        </w:rPr>
      </w:pPr>
      <w:r w:rsidRPr="00073C33">
        <w:rPr>
          <w:color w:val="000000" w:themeColor="text1"/>
        </w:rPr>
        <w:t>Interwork with SHAKEN</w:t>
      </w:r>
    </w:p>
    <w:p w14:paraId="33A028BD" w14:textId="2CA3E4E0" w:rsidR="00073C33" w:rsidRPr="00073C33" w:rsidRDefault="005F2B60" w:rsidP="00073C33">
      <w:pPr>
        <w:numPr>
          <w:ilvl w:val="1"/>
          <w:numId w:val="41"/>
        </w:numPr>
        <w:spacing w:before="0" w:after="0"/>
        <w:rPr>
          <w:color w:val="000000" w:themeColor="text1"/>
          <w:lang w:val="en-CA"/>
        </w:rPr>
      </w:pPr>
      <w:r>
        <w:rPr>
          <w:color w:val="000000" w:themeColor="text1"/>
        </w:rPr>
        <w:t>Ideally any approach would be t</w:t>
      </w:r>
      <w:r w:rsidR="00073C33" w:rsidRPr="00073C33">
        <w:rPr>
          <w:color w:val="000000" w:themeColor="text1"/>
        </w:rPr>
        <w:t xml:space="preserve">ransparent to SIP networks that have implemented </w:t>
      </w:r>
      <w:proofErr w:type="gramStart"/>
      <w:r w:rsidR="00073C33" w:rsidRPr="00073C33">
        <w:rPr>
          <w:color w:val="000000" w:themeColor="text1"/>
        </w:rPr>
        <w:t>SHAKEN</w:t>
      </w:r>
      <w:r>
        <w:rPr>
          <w:color w:val="000000" w:themeColor="text1"/>
        </w:rPr>
        <w:t>, and</w:t>
      </w:r>
      <w:proofErr w:type="gramEnd"/>
      <w:r>
        <w:rPr>
          <w:color w:val="000000" w:themeColor="text1"/>
        </w:rPr>
        <w:t xml:space="preserve"> would not require additional </w:t>
      </w:r>
      <w:r w:rsidR="00A159F0">
        <w:rPr>
          <w:color w:val="000000" w:themeColor="text1"/>
        </w:rPr>
        <w:t>functionality to accommodate non-IP mechanisms.</w:t>
      </w:r>
    </w:p>
    <w:p w14:paraId="224798ED" w14:textId="2C11C132" w:rsidR="00073C33" w:rsidRPr="00073C33" w:rsidRDefault="00DC57DE" w:rsidP="00073C33">
      <w:pPr>
        <w:numPr>
          <w:ilvl w:val="0"/>
          <w:numId w:val="41"/>
        </w:numPr>
        <w:spacing w:before="0" w:after="0"/>
        <w:rPr>
          <w:color w:val="000000" w:themeColor="text1"/>
          <w:lang w:val="en-CA"/>
        </w:rPr>
      </w:pPr>
      <w:r>
        <w:rPr>
          <w:color w:val="000000" w:themeColor="text1"/>
        </w:rPr>
        <w:t>Whenever possible, the “c</w:t>
      </w:r>
      <w:r w:rsidR="00073C33" w:rsidRPr="00073C33">
        <w:rPr>
          <w:color w:val="000000" w:themeColor="text1"/>
        </w:rPr>
        <w:t>ost causer</w:t>
      </w:r>
      <w:r>
        <w:rPr>
          <w:color w:val="000000" w:themeColor="text1"/>
        </w:rPr>
        <w:t>”</w:t>
      </w:r>
      <w:r w:rsidR="00073C33" w:rsidRPr="00073C33">
        <w:rPr>
          <w:color w:val="000000" w:themeColor="text1"/>
        </w:rPr>
        <w:t xml:space="preserve"> </w:t>
      </w:r>
      <w:r>
        <w:rPr>
          <w:color w:val="000000" w:themeColor="text1"/>
        </w:rPr>
        <w:t>should be the</w:t>
      </w:r>
      <w:r w:rsidR="00073C33" w:rsidRPr="00073C33">
        <w:rPr>
          <w:color w:val="000000" w:themeColor="text1"/>
        </w:rPr>
        <w:t xml:space="preserve"> </w:t>
      </w:r>
      <w:r>
        <w:rPr>
          <w:color w:val="000000" w:themeColor="text1"/>
        </w:rPr>
        <w:t>“</w:t>
      </w:r>
      <w:r w:rsidR="00073C33" w:rsidRPr="00073C33">
        <w:rPr>
          <w:color w:val="000000" w:themeColor="text1"/>
        </w:rPr>
        <w:t>cost payer</w:t>
      </w:r>
      <w:r>
        <w:rPr>
          <w:color w:val="000000" w:themeColor="text1"/>
        </w:rPr>
        <w:t>”</w:t>
      </w:r>
      <w:r w:rsidR="00073C33" w:rsidRPr="00073C33">
        <w:rPr>
          <w:color w:val="000000" w:themeColor="text1"/>
        </w:rPr>
        <w:t xml:space="preserve"> </w:t>
      </w:r>
    </w:p>
    <w:p w14:paraId="2FC293C4" w14:textId="1D46BB37" w:rsidR="00073C33" w:rsidRPr="00073C33" w:rsidRDefault="00073C33" w:rsidP="00073C33">
      <w:pPr>
        <w:numPr>
          <w:ilvl w:val="1"/>
          <w:numId w:val="41"/>
        </w:numPr>
        <w:spacing w:before="0" w:after="0"/>
        <w:rPr>
          <w:color w:val="000000" w:themeColor="text1"/>
          <w:lang w:val="en-CA"/>
        </w:rPr>
      </w:pPr>
      <w:r w:rsidRPr="00073C33">
        <w:rPr>
          <w:color w:val="000000" w:themeColor="text1"/>
        </w:rPr>
        <w:t>This is a well-established IP-NNI principle that should be considered</w:t>
      </w:r>
      <w:r w:rsidR="00EC1876">
        <w:rPr>
          <w:color w:val="000000" w:themeColor="text1"/>
        </w:rPr>
        <w:t xml:space="preserve"> when evaluating mechanisms.</w:t>
      </w:r>
    </w:p>
    <w:p w14:paraId="50598B67" w14:textId="095733B7" w:rsidR="00CA3336" w:rsidRPr="00DE1B9C" w:rsidRDefault="00073C33" w:rsidP="00670909">
      <w:pPr>
        <w:numPr>
          <w:ilvl w:val="0"/>
          <w:numId w:val="41"/>
        </w:numPr>
        <w:spacing w:before="0" w:after="0"/>
        <w:rPr>
          <w:color w:val="000000" w:themeColor="text1"/>
          <w:lang w:val="en-CA"/>
        </w:rPr>
      </w:pPr>
      <w:r w:rsidRPr="00073C33">
        <w:rPr>
          <w:color w:val="000000" w:themeColor="text1"/>
        </w:rPr>
        <w:t>Should support extension to full international deployment</w:t>
      </w:r>
      <w:r w:rsidR="00EC1876">
        <w:rPr>
          <w:color w:val="000000" w:themeColor="text1"/>
        </w:rPr>
        <w:t>.</w:t>
      </w:r>
      <w:r w:rsidR="00933660">
        <w:rPr>
          <w:color w:val="000000" w:themeColor="text1"/>
        </w:rPr>
        <w:t xml:space="preserve"> ATIS-1000074 did not consider international deployment</w:t>
      </w:r>
      <w:r w:rsidR="00260177">
        <w:rPr>
          <w:color w:val="000000" w:themeColor="text1"/>
        </w:rPr>
        <w:t xml:space="preserve"> for valid reasons</w:t>
      </w:r>
      <w:r w:rsidR="00933660">
        <w:rPr>
          <w:color w:val="000000" w:themeColor="text1"/>
        </w:rPr>
        <w:t>, but</w:t>
      </w:r>
      <w:r w:rsidR="00260177">
        <w:rPr>
          <w:color w:val="000000" w:themeColor="text1"/>
        </w:rPr>
        <w:t xml:space="preserve"> today </w:t>
      </w:r>
      <w:r w:rsidR="00D77504">
        <w:rPr>
          <w:color w:val="000000" w:themeColor="text1"/>
        </w:rPr>
        <w:t xml:space="preserve">it is clear that full international interoperability will be </w:t>
      </w:r>
      <w:r w:rsidR="008C5970">
        <w:rPr>
          <w:color w:val="000000" w:themeColor="text1"/>
        </w:rPr>
        <w:t>critical for success of any mechanism for non-IP traffic.</w:t>
      </w:r>
      <w:r w:rsidR="00933660">
        <w:rPr>
          <w:color w:val="000000" w:themeColor="text1"/>
        </w:rPr>
        <w:t xml:space="preserve"> </w:t>
      </w:r>
    </w:p>
    <w:p w14:paraId="7167A5AE" w14:textId="6E5E6820" w:rsidR="00E533EB" w:rsidRPr="00670909" w:rsidRDefault="00AB01C3" w:rsidP="00670909">
      <w:pPr>
        <w:numPr>
          <w:ilvl w:val="0"/>
          <w:numId w:val="41"/>
        </w:numPr>
        <w:spacing w:before="0" w:after="0"/>
        <w:rPr>
          <w:color w:val="000000" w:themeColor="text1"/>
          <w:lang w:val="en-CA"/>
        </w:rPr>
      </w:pPr>
      <w:r>
        <w:rPr>
          <w:color w:val="000000" w:themeColor="text1"/>
        </w:rPr>
        <w:t>Should support passport types and extensions.</w:t>
      </w:r>
      <w:r w:rsidR="0000462D">
        <w:rPr>
          <w:color w:val="000000" w:themeColor="text1"/>
        </w:rPr>
        <w:t xml:space="preserve"> </w:t>
      </w:r>
    </w:p>
    <w:p w14:paraId="4F7C52F4" w14:textId="77777777" w:rsidR="00140EEE" w:rsidRPr="00B014E3" w:rsidRDefault="00140EEE"/>
    <w:p w14:paraId="52DD1288" w14:textId="6E2E3B82" w:rsidR="004C0814" w:rsidRDefault="00670909" w:rsidP="0014579B">
      <w:pPr>
        <w:pStyle w:val="Heading1"/>
      </w:pPr>
      <w:bookmarkStart w:id="55" w:name="_Toc38909843"/>
      <w:r>
        <w:t>Non-IP Sce</w:t>
      </w:r>
      <w:r w:rsidR="000B60C1">
        <w:t>narios</w:t>
      </w:r>
      <w:bookmarkEnd w:id="55"/>
    </w:p>
    <w:p w14:paraId="6FB41EF7" w14:textId="388454E1" w:rsidR="000B60C1" w:rsidRDefault="0035236D" w:rsidP="008C3657">
      <w:pPr>
        <w:pStyle w:val="xmsonormal"/>
        <w:shd w:val="clear" w:color="auto" w:fill="FFFFFF"/>
        <w:spacing w:before="0" w:beforeAutospacing="0" w:after="120" w:afterAutospacing="0"/>
        <w:jc w:val="both"/>
        <w:rPr>
          <w:rFonts w:ascii="Arial" w:hAnsi="Arial" w:cs="Arial"/>
          <w:sz w:val="20"/>
          <w:szCs w:val="20"/>
        </w:rPr>
      </w:pPr>
      <w:bookmarkStart w:id="56" w:name="_Toc7115412"/>
      <w:bookmarkStart w:id="57" w:name="_Toc7115460"/>
      <w:bookmarkStart w:id="58" w:name="_Toc7164636"/>
      <w:bookmarkStart w:id="59" w:name="_Ref6409854"/>
      <w:bookmarkEnd w:id="56"/>
      <w:bookmarkEnd w:id="57"/>
      <w:bookmarkEnd w:id="58"/>
      <w:r>
        <w:rPr>
          <w:rFonts w:ascii="Arial" w:hAnsi="Arial" w:cs="Arial"/>
          <w:sz w:val="20"/>
          <w:szCs w:val="20"/>
        </w:rPr>
        <w:t>This Tech</w:t>
      </w:r>
      <w:r w:rsidR="004F13B0">
        <w:rPr>
          <w:rFonts w:ascii="Arial" w:hAnsi="Arial" w:cs="Arial"/>
          <w:sz w:val="20"/>
          <w:szCs w:val="20"/>
        </w:rPr>
        <w:t xml:space="preserve">nical Report identifies </w:t>
      </w:r>
      <w:r w:rsidR="009F5324">
        <w:rPr>
          <w:rFonts w:ascii="Arial" w:hAnsi="Arial" w:cs="Arial"/>
          <w:sz w:val="20"/>
          <w:szCs w:val="20"/>
        </w:rPr>
        <w:t>scenarios that do not have end-to-end SIP connectivity.</w:t>
      </w:r>
    </w:p>
    <w:p w14:paraId="700FE6A4" w14:textId="2D4519BD" w:rsidR="009F5324" w:rsidRPr="00D2002F" w:rsidRDefault="00C165BD" w:rsidP="009F5324">
      <w:pPr>
        <w:pStyle w:val="Heading2"/>
        <w:rPr>
          <w:color w:val="000000" w:themeColor="text1"/>
        </w:rPr>
      </w:pPr>
      <w:bookmarkStart w:id="60" w:name="_Toc38909844"/>
      <w:r>
        <w:rPr>
          <w:color w:val="000000" w:themeColor="text1"/>
        </w:rPr>
        <w:lastRenderedPageBreak/>
        <w:t>TDM =&gt; SIP</w:t>
      </w:r>
      <w:bookmarkEnd w:id="60"/>
    </w:p>
    <w:p w14:paraId="2D10187E" w14:textId="2CF7B943" w:rsidR="009F5324" w:rsidRDefault="00C165BD" w:rsidP="009F5324">
      <w:pPr>
        <w:spacing w:before="0" w:after="0"/>
        <w:rPr>
          <w:color w:val="000000" w:themeColor="text1"/>
        </w:rPr>
      </w:pPr>
      <w:r>
        <w:rPr>
          <w:color w:val="000000" w:themeColor="text1"/>
        </w:rPr>
        <w:t xml:space="preserve">This section describes scenarios where </w:t>
      </w:r>
      <w:r w:rsidR="007C12B3">
        <w:rPr>
          <w:color w:val="000000" w:themeColor="text1"/>
        </w:rPr>
        <w:t>the OSP is TDM-based and the TSP is SIP-based.</w:t>
      </w:r>
    </w:p>
    <w:p w14:paraId="368AFC68" w14:textId="0D01FD0C" w:rsidR="00A86BD9" w:rsidRDefault="00A86BD9" w:rsidP="009F5324">
      <w:pPr>
        <w:spacing w:before="0" w:after="0"/>
        <w:rPr>
          <w:color w:val="000000" w:themeColor="text1"/>
        </w:rPr>
      </w:pPr>
    </w:p>
    <w:p w14:paraId="205571FB" w14:textId="04BCB071" w:rsidR="00A86BD9" w:rsidRDefault="00582037" w:rsidP="009F5324">
      <w:pPr>
        <w:spacing w:before="0" w:after="0"/>
        <w:rPr>
          <w:color w:val="000000" w:themeColor="text1"/>
        </w:rPr>
      </w:pPr>
      <w:r>
        <w:rPr>
          <w:noProof/>
          <w:color w:val="000000" w:themeColor="text1"/>
        </w:rPr>
        <w:drawing>
          <wp:inline distT="0" distB="0" distL="0" distR="0" wp14:anchorId="56FF0C6E" wp14:editId="73D2ACBC">
            <wp:extent cx="6257677" cy="2536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3901" cy="2563496"/>
                    </a:xfrm>
                    <a:prstGeom prst="rect">
                      <a:avLst/>
                    </a:prstGeom>
                    <a:noFill/>
                  </pic:spPr>
                </pic:pic>
              </a:graphicData>
            </a:graphic>
          </wp:inline>
        </w:drawing>
      </w:r>
    </w:p>
    <w:p w14:paraId="0D96A11C" w14:textId="66AF6365" w:rsidR="007C12B3" w:rsidRDefault="007C12B3" w:rsidP="009F5324">
      <w:pPr>
        <w:spacing w:before="0" w:after="0"/>
        <w:rPr>
          <w:color w:val="000000" w:themeColor="text1"/>
        </w:rPr>
      </w:pPr>
    </w:p>
    <w:p w14:paraId="71850AAE" w14:textId="17F7B21F" w:rsidR="007C12B3" w:rsidRDefault="007C12B3" w:rsidP="009F5324">
      <w:pPr>
        <w:spacing w:before="0" w:after="0"/>
        <w:rPr>
          <w:color w:val="000000" w:themeColor="text1"/>
        </w:rPr>
      </w:pPr>
    </w:p>
    <w:p w14:paraId="1478FAF3" w14:textId="77777777" w:rsidR="007C12B3" w:rsidRDefault="007C12B3" w:rsidP="009F5324">
      <w:pPr>
        <w:spacing w:before="0" w:after="0"/>
        <w:rPr>
          <w:color w:val="000000" w:themeColor="text1"/>
        </w:rPr>
      </w:pPr>
    </w:p>
    <w:p w14:paraId="0D745C35" w14:textId="1C6EFB83" w:rsidR="007C12B3" w:rsidRPr="00D2002F" w:rsidRDefault="007C12B3" w:rsidP="007C12B3">
      <w:pPr>
        <w:pStyle w:val="Heading2"/>
        <w:rPr>
          <w:color w:val="000000" w:themeColor="text1"/>
        </w:rPr>
      </w:pPr>
      <w:bookmarkStart w:id="61" w:name="_Toc38909845"/>
      <w:r>
        <w:rPr>
          <w:color w:val="000000" w:themeColor="text1"/>
        </w:rPr>
        <w:t>SIP =&gt;</w:t>
      </w:r>
      <w:r w:rsidRPr="007C12B3">
        <w:rPr>
          <w:color w:val="000000" w:themeColor="text1"/>
        </w:rPr>
        <w:t xml:space="preserve"> </w:t>
      </w:r>
      <w:r>
        <w:rPr>
          <w:color w:val="000000" w:themeColor="text1"/>
        </w:rPr>
        <w:t>TDM</w:t>
      </w:r>
      <w:bookmarkEnd w:id="61"/>
    </w:p>
    <w:p w14:paraId="44022602" w14:textId="22323750" w:rsidR="007C12B3" w:rsidRDefault="007C12B3" w:rsidP="007C12B3">
      <w:pPr>
        <w:spacing w:before="0" w:after="0"/>
        <w:rPr>
          <w:color w:val="000000" w:themeColor="text1"/>
        </w:rPr>
      </w:pPr>
      <w:r>
        <w:rPr>
          <w:color w:val="000000" w:themeColor="text1"/>
        </w:rPr>
        <w:t xml:space="preserve">This section describes scenarios where the OSP </w:t>
      </w:r>
      <w:r w:rsidR="001542DB">
        <w:rPr>
          <w:color w:val="000000" w:themeColor="text1"/>
        </w:rPr>
        <w:t xml:space="preserve">is </w:t>
      </w:r>
      <w:r>
        <w:rPr>
          <w:color w:val="000000" w:themeColor="text1"/>
        </w:rPr>
        <w:t>SIP-based</w:t>
      </w:r>
      <w:r w:rsidRPr="007C12B3">
        <w:rPr>
          <w:color w:val="000000" w:themeColor="text1"/>
        </w:rPr>
        <w:t xml:space="preserve"> </w:t>
      </w:r>
      <w:r>
        <w:rPr>
          <w:color w:val="000000" w:themeColor="text1"/>
        </w:rPr>
        <w:t>and the TSP is TDM-based.</w:t>
      </w:r>
    </w:p>
    <w:p w14:paraId="7B80C2EA" w14:textId="15C27675" w:rsidR="00D6222F" w:rsidRDefault="00D6222F" w:rsidP="007C12B3">
      <w:pPr>
        <w:spacing w:before="0" w:after="0"/>
        <w:rPr>
          <w:color w:val="000000" w:themeColor="text1"/>
        </w:rPr>
      </w:pPr>
    </w:p>
    <w:p w14:paraId="60472C43" w14:textId="4B6E893E" w:rsidR="00D6222F" w:rsidRDefault="00926CD4" w:rsidP="007C12B3">
      <w:pPr>
        <w:spacing w:before="0" w:after="0"/>
        <w:rPr>
          <w:color w:val="000000" w:themeColor="text1"/>
        </w:rPr>
      </w:pPr>
      <w:r>
        <w:rPr>
          <w:noProof/>
          <w:color w:val="000000" w:themeColor="text1"/>
        </w:rPr>
        <w:drawing>
          <wp:inline distT="0" distB="0" distL="0" distR="0" wp14:anchorId="7F97E754" wp14:editId="440D0D0F">
            <wp:extent cx="6070489" cy="227167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5037" cy="2295833"/>
                    </a:xfrm>
                    <a:prstGeom prst="rect">
                      <a:avLst/>
                    </a:prstGeom>
                    <a:noFill/>
                  </pic:spPr>
                </pic:pic>
              </a:graphicData>
            </a:graphic>
          </wp:inline>
        </w:drawing>
      </w:r>
    </w:p>
    <w:p w14:paraId="6A93F413" w14:textId="6BF28C63" w:rsidR="00874A18" w:rsidRDefault="00874A18" w:rsidP="007C12B3">
      <w:pPr>
        <w:spacing w:before="0" w:after="0"/>
        <w:rPr>
          <w:color w:val="000000" w:themeColor="text1"/>
        </w:rPr>
      </w:pPr>
    </w:p>
    <w:p w14:paraId="5300ABB9" w14:textId="3B634DB5" w:rsidR="00874A18" w:rsidRDefault="00874A18" w:rsidP="007C12B3">
      <w:pPr>
        <w:spacing w:before="0" w:after="0"/>
        <w:rPr>
          <w:color w:val="000000" w:themeColor="text1"/>
        </w:rPr>
      </w:pPr>
    </w:p>
    <w:p w14:paraId="6BA8FBBB" w14:textId="77777777" w:rsidR="00337C8F" w:rsidRDefault="00337C8F" w:rsidP="007C12B3">
      <w:pPr>
        <w:spacing w:before="0" w:after="0"/>
        <w:rPr>
          <w:color w:val="000000" w:themeColor="text1"/>
        </w:rPr>
      </w:pPr>
    </w:p>
    <w:p w14:paraId="47B90C23" w14:textId="39BDD154" w:rsidR="009F5324" w:rsidRDefault="009F5324" w:rsidP="008C3657">
      <w:pPr>
        <w:pStyle w:val="xmsonormal"/>
        <w:shd w:val="clear" w:color="auto" w:fill="FFFFFF"/>
        <w:spacing w:before="0" w:beforeAutospacing="0" w:after="120" w:afterAutospacing="0"/>
        <w:jc w:val="both"/>
        <w:rPr>
          <w:rFonts w:ascii="Arial" w:hAnsi="Arial" w:cs="Arial"/>
          <w:sz w:val="20"/>
          <w:szCs w:val="20"/>
        </w:rPr>
      </w:pPr>
    </w:p>
    <w:p w14:paraId="42145C9B" w14:textId="736EC6FC" w:rsidR="00874A18" w:rsidRDefault="00F571E1" w:rsidP="008C3657">
      <w:pPr>
        <w:pStyle w:val="xmsonormal"/>
        <w:shd w:val="clear" w:color="auto" w:fill="FFFFFF"/>
        <w:spacing w:before="0" w:beforeAutospacing="0" w:after="120" w:afterAutospacing="0"/>
        <w:jc w:val="both"/>
        <w:rPr>
          <w:rFonts w:ascii="Arial" w:hAnsi="Arial" w:cs="Arial"/>
          <w:sz w:val="20"/>
          <w:szCs w:val="20"/>
        </w:rPr>
      </w:pPr>
      <w:r>
        <w:rPr>
          <w:rFonts w:ascii="Arial" w:hAnsi="Arial" w:cs="Arial"/>
          <w:noProof/>
          <w:sz w:val="20"/>
          <w:szCs w:val="20"/>
        </w:rPr>
        <w:drawing>
          <wp:inline distT="0" distB="0" distL="0" distR="0" wp14:anchorId="4FD8506B" wp14:editId="0D80C4BB">
            <wp:extent cx="6068170" cy="133001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7513" cy="1347400"/>
                    </a:xfrm>
                    <a:prstGeom prst="rect">
                      <a:avLst/>
                    </a:prstGeom>
                    <a:noFill/>
                  </pic:spPr>
                </pic:pic>
              </a:graphicData>
            </a:graphic>
          </wp:inline>
        </w:drawing>
      </w:r>
    </w:p>
    <w:p w14:paraId="45E853C0" w14:textId="31642E2F" w:rsidR="00B25A95" w:rsidRPr="00D2002F" w:rsidRDefault="00B25A95" w:rsidP="00B25A95">
      <w:pPr>
        <w:pStyle w:val="Heading2"/>
        <w:rPr>
          <w:color w:val="000000" w:themeColor="text1"/>
        </w:rPr>
      </w:pPr>
      <w:bookmarkStart w:id="62" w:name="_Toc38909846"/>
      <w:r>
        <w:rPr>
          <w:color w:val="000000" w:themeColor="text1"/>
        </w:rPr>
        <w:lastRenderedPageBreak/>
        <w:t>SIP =&gt;</w:t>
      </w:r>
      <w:r w:rsidRPr="007C12B3">
        <w:rPr>
          <w:color w:val="000000" w:themeColor="text1"/>
        </w:rPr>
        <w:t xml:space="preserve"> </w:t>
      </w:r>
      <w:r>
        <w:rPr>
          <w:color w:val="000000" w:themeColor="text1"/>
        </w:rPr>
        <w:t>TDM =&gt; SIP</w:t>
      </w:r>
      <w:bookmarkEnd w:id="62"/>
    </w:p>
    <w:p w14:paraId="7CE1BEA5" w14:textId="63F1E109" w:rsidR="00B25A95" w:rsidRDefault="00B25A95" w:rsidP="00B25A95">
      <w:pPr>
        <w:spacing w:before="0" w:after="0"/>
        <w:rPr>
          <w:color w:val="000000" w:themeColor="text1"/>
        </w:rPr>
      </w:pPr>
      <w:r>
        <w:rPr>
          <w:color w:val="000000" w:themeColor="text1"/>
        </w:rPr>
        <w:t xml:space="preserve">This section describes scenarios where the OSP </w:t>
      </w:r>
      <w:r w:rsidR="00036D47">
        <w:rPr>
          <w:color w:val="000000" w:themeColor="text1"/>
        </w:rPr>
        <w:t xml:space="preserve">and TSP are both </w:t>
      </w:r>
      <w:r>
        <w:rPr>
          <w:color w:val="000000" w:themeColor="text1"/>
        </w:rPr>
        <w:t>SIP-based</w:t>
      </w:r>
      <w:r w:rsidRPr="007C12B3">
        <w:rPr>
          <w:color w:val="000000" w:themeColor="text1"/>
        </w:rPr>
        <w:t xml:space="preserve"> </w:t>
      </w:r>
      <w:r w:rsidR="00036D47">
        <w:rPr>
          <w:color w:val="000000" w:themeColor="text1"/>
        </w:rPr>
        <w:t xml:space="preserve">but one or more </w:t>
      </w:r>
      <w:r w:rsidR="00820783">
        <w:rPr>
          <w:color w:val="000000" w:themeColor="text1"/>
        </w:rPr>
        <w:t>transport links are TDM-based</w:t>
      </w:r>
      <w:r>
        <w:rPr>
          <w:color w:val="000000" w:themeColor="text1"/>
        </w:rPr>
        <w:t>.</w:t>
      </w:r>
      <w:r w:rsidR="00820783">
        <w:rPr>
          <w:color w:val="000000" w:themeColor="text1"/>
        </w:rPr>
        <w:t xml:space="preserve"> For analysis, this is </w:t>
      </w:r>
      <w:r w:rsidR="00F86C4B">
        <w:rPr>
          <w:color w:val="000000" w:themeColor="text1"/>
        </w:rPr>
        <w:t>divided into two sub-sections.</w:t>
      </w:r>
    </w:p>
    <w:p w14:paraId="5152F68D" w14:textId="76C968B8" w:rsidR="00F86C4B" w:rsidRDefault="00F86C4B" w:rsidP="00B25A95">
      <w:pPr>
        <w:spacing w:before="0" w:after="0"/>
        <w:rPr>
          <w:color w:val="000000" w:themeColor="text1"/>
        </w:rPr>
      </w:pPr>
    </w:p>
    <w:p w14:paraId="1F21B2C6" w14:textId="1498B58B" w:rsidR="00F86C4B" w:rsidRPr="00D2002F" w:rsidRDefault="00F86C4B" w:rsidP="00560FAD">
      <w:pPr>
        <w:pStyle w:val="Heading3"/>
      </w:pPr>
      <w:bookmarkStart w:id="63" w:name="_Toc38909847"/>
      <w:r>
        <w:t>SIP =&gt;</w:t>
      </w:r>
      <w:r w:rsidRPr="007C12B3">
        <w:t xml:space="preserve"> </w:t>
      </w:r>
      <w:r>
        <w:t>TDM</w:t>
      </w:r>
      <w:r w:rsidR="001542DB">
        <w:t xml:space="preserve"> Transport</w:t>
      </w:r>
      <w:bookmarkEnd w:id="63"/>
    </w:p>
    <w:p w14:paraId="6AD41877" w14:textId="189D6184" w:rsidR="00F86C4B" w:rsidRDefault="00F86C4B" w:rsidP="00F86C4B">
      <w:pPr>
        <w:spacing w:before="0" w:after="0"/>
        <w:rPr>
          <w:color w:val="000000" w:themeColor="text1"/>
        </w:rPr>
      </w:pPr>
      <w:r>
        <w:rPr>
          <w:color w:val="000000" w:themeColor="text1"/>
        </w:rPr>
        <w:t xml:space="preserve">This section describes scenarios where the OSP </w:t>
      </w:r>
      <w:r w:rsidR="001542DB">
        <w:rPr>
          <w:color w:val="000000" w:themeColor="text1"/>
        </w:rPr>
        <w:t xml:space="preserve">is </w:t>
      </w:r>
      <w:r>
        <w:rPr>
          <w:color w:val="000000" w:themeColor="text1"/>
        </w:rPr>
        <w:t>SIP-based</w:t>
      </w:r>
      <w:r w:rsidRPr="007C12B3">
        <w:rPr>
          <w:color w:val="000000" w:themeColor="text1"/>
        </w:rPr>
        <w:t xml:space="preserve"> </w:t>
      </w:r>
      <w:r>
        <w:rPr>
          <w:color w:val="000000" w:themeColor="text1"/>
        </w:rPr>
        <w:t xml:space="preserve">and the </w:t>
      </w:r>
      <w:r w:rsidR="001542DB">
        <w:rPr>
          <w:color w:val="000000" w:themeColor="text1"/>
        </w:rPr>
        <w:t>transport network</w:t>
      </w:r>
      <w:r>
        <w:rPr>
          <w:color w:val="000000" w:themeColor="text1"/>
        </w:rPr>
        <w:t xml:space="preserve"> is TDM-based.</w:t>
      </w:r>
    </w:p>
    <w:p w14:paraId="68B2BE59" w14:textId="5F3180A5" w:rsidR="007F4569" w:rsidRDefault="007F4569" w:rsidP="00F86C4B">
      <w:pPr>
        <w:spacing w:before="0" w:after="0"/>
        <w:rPr>
          <w:color w:val="000000" w:themeColor="text1"/>
        </w:rPr>
      </w:pPr>
    </w:p>
    <w:p w14:paraId="09212757" w14:textId="54F9543F" w:rsidR="007012BF" w:rsidRDefault="007012BF" w:rsidP="00F86C4B">
      <w:pPr>
        <w:spacing w:before="0" w:after="0"/>
        <w:rPr>
          <w:color w:val="000000" w:themeColor="text1"/>
        </w:rPr>
      </w:pPr>
      <w:r>
        <w:rPr>
          <w:noProof/>
          <w:color w:val="000000" w:themeColor="text1"/>
        </w:rPr>
        <w:drawing>
          <wp:inline distT="0" distB="0" distL="0" distR="0" wp14:anchorId="4246804A" wp14:editId="0EF6A5A9">
            <wp:extent cx="5987995" cy="186034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6322" cy="1884683"/>
                    </a:xfrm>
                    <a:prstGeom prst="rect">
                      <a:avLst/>
                    </a:prstGeom>
                    <a:noFill/>
                  </pic:spPr>
                </pic:pic>
              </a:graphicData>
            </a:graphic>
          </wp:inline>
        </w:drawing>
      </w:r>
    </w:p>
    <w:p w14:paraId="27C35175" w14:textId="4211A3ED" w:rsidR="00F86C4B" w:rsidRDefault="00F86C4B" w:rsidP="00B25A95">
      <w:pPr>
        <w:spacing w:before="0" w:after="0"/>
        <w:rPr>
          <w:color w:val="000000" w:themeColor="text1"/>
        </w:rPr>
      </w:pPr>
    </w:p>
    <w:p w14:paraId="2DBD6CF9" w14:textId="20800B86" w:rsidR="00560FAD" w:rsidRPr="00D2002F" w:rsidRDefault="001542DB" w:rsidP="00560FAD">
      <w:pPr>
        <w:pStyle w:val="Heading3"/>
      </w:pPr>
      <w:bookmarkStart w:id="64" w:name="_Toc38909848"/>
      <w:r>
        <w:t xml:space="preserve">TDM Transport </w:t>
      </w:r>
      <w:r w:rsidR="00560FAD">
        <w:t>=&gt;</w:t>
      </w:r>
      <w:r w:rsidR="00560FAD" w:rsidRPr="007C12B3">
        <w:t xml:space="preserve"> </w:t>
      </w:r>
      <w:r>
        <w:t>SIP</w:t>
      </w:r>
      <w:bookmarkEnd w:id="64"/>
    </w:p>
    <w:p w14:paraId="570A5C41" w14:textId="4149AEEF" w:rsidR="00560FAD" w:rsidRDefault="00560FAD" w:rsidP="00560FAD">
      <w:pPr>
        <w:spacing w:before="0" w:after="0"/>
        <w:rPr>
          <w:color w:val="000000" w:themeColor="text1"/>
        </w:rPr>
      </w:pPr>
      <w:r>
        <w:rPr>
          <w:color w:val="000000" w:themeColor="text1"/>
        </w:rPr>
        <w:t xml:space="preserve">This section describes scenarios where the </w:t>
      </w:r>
      <w:r w:rsidR="001542DB">
        <w:rPr>
          <w:color w:val="000000" w:themeColor="text1"/>
        </w:rPr>
        <w:t xml:space="preserve">transport network is TDM-based, and the </w:t>
      </w:r>
      <w:r>
        <w:rPr>
          <w:color w:val="000000" w:themeColor="text1"/>
        </w:rPr>
        <w:t xml:space="preserve">TSP is </w:t>
      </w:r>
      <w:r w:rsidR="001542DB">
        <w:rPr>
          <w:color w:val="000000" w:themeColor="text1"/>
        </w:rPr>
        <w:t>SIP</w:t>
      </w:r>
      <w:r>
        <w:rPr>
          <w:color w:val="000000" w:themeColor="text1"/>
        </w:rPr>
        <w:t>-based.</w:t>
      </w:r>
    </w:p>
    <w:p w14:paraId="39CAA234" w14:textId="77777777" w:rsidR="00560FAD" w:rsidRDefault="00560FAD" w:rsidP="00B25A95">
      <w:pPr>
        <w:spacing w:before="0" w:after="0"/>
        <w:rPr>
          <w:color w:val="000000" w:themeColor="text1"/>
        </w:rPr>
      </w:pPr>
    </w:p>
    <w:p w14:paraId="7AAB1F30" w14:textId="054CAC45" w:rsidR="00B25A95" w:rsidRDefault="00784948" w:rsidP="008C3657">
      <w:pPr>
        <w:pStyle w:val="xmsonormal"/>
        <w:shd w:val="clear" w:color="auto" w:fill="FFFFFF"/>
        <w:spacing w:before="0" w:beforeAutospacing="0" w:after="120" w:afterAutospacing="0"/>
        <w:jc w:val="both"/>
        <w:rPr>
          <w:rFonts w:ascii="Arial" w:hAnsi="Arial" w:cs="Arial"/>
          <w:sz w:val="20"/>
          <w:szCs w:val="20"/>
        </w:rPr>
      </w:pPr>
      <w:r>
        <w:rPr>
          <w:rFonts w:ascii="Arial" w:hAnsi="Arial" w:cs="Arial"/>
          <w:noProof/>
          <w:sz w:val="20"/>
          <w:szCs w:val="20"/>
        </w:rPr>
        <w:drawing>
          <wp:inline distT="0" distB="0" distL="0" distR="0" wp14:anchorId="539A5E7E" wp14:editId="42D4AD34">
            <wp:extent cx="6261321" cy="25551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9679" cy="2578930"/>
                    </a:xfrm>
                    <a:prstGeom prst="rect">
                      <a:avLst/>
                    </a:prstGeom>
                    <a:noFill/>
                  </pic:spPr>
                </pic:pic>
              </a:graphicData>
            </a:graphic>
          </wp:inline>
        </w:drawing>
      </w:r>
    </w:p>
    <w:p w14:paraId="1435B75B" w14:textId="4DCBC8FC" w:rsidR="00770004" w:rsidRDefault="00770004" w:rsidP="008C3657">
      <w:pPr>
        <w:pStyle w:val="xmsonormal"/>
        <w:shd w:val="clear" w:color="auto" w:fill="FFFFFF"/>
        <w:spacing w:before="0" w:beforeAutospacing="0" w:after="120" w:afterAutospacing="0"/>
        <w:jc w:val="both"/>
        <w:rPr>
          <w:rFonts w:ascii="Arial" w:hAnsi="Arial" w:cs="Arial"/>
          <w:sz w:val="20"/>
          <w:szCs w:val="20"/>
        </w:rPr>
      </w:pPr>
    </w:p>
    <w:bookmarkEnd w:id="59"/>
    <w:p w14:paraId="1DEA3966" w14:textId="77777777" w:rsidR="00770004" w:rsidRDefault="00770004" w:rsidP="008C3657">
      <w:pPr>
        <w:pStyle w:val="xmsonormal"/>
        <w:shd w:val="clear" w:color="auto" w:fill="FFFFFF"/>
        <w:spacing w:before="0" w:beforeAutospacing="0" w:after="120" w:afterAutospacing="0"/>
        <w:jc w:val="both"/>
        <w:rPr>
          <w:rFonts w:ascii="Arial" w:hAnsi="Arial" w:cs="Arial"/>
          <w:sz w:val="20"/>
          <w:szCs w:val="20"/>
        </w:rPr>
      </w:pPr>
    </w:p>
    <w:sectPr w:rsidR="00770004">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0FDC" w14:textId="77777777" w:rsidR="00CF5A23" w:rsidRDefault="00CF5A23">
      <w:r>
        <w:separator/>
      </w:r>
    </w:p>
  </w:endnote>
  <w:endnote w:type="continuationSeparator" w:id="0">
    <w:p w14:paraId="265CD9A6" w14:textId="77777777" w:rsidR="00CF5A23" w:rsidRDefault="00CF5A23">
      <w:r>
        <w:continuationSeparator/>
      </w:r>
    </w:p>
  </w:endnote>
  <w:endnote w:type="continuationNotice" w:id="1">
    <w:p w14:paraId="20F1CD79" w14:textId="77777777" w:rsidR="00CF5A23" w:rsidRDefault="00CF5A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B647" w14:textId="77777777" w:rsidR="00CF5A23" w:rsidRDefault="00CF5A23">
      <w:r>
        <w:separator/>
      </w:r>
    </w:p>
  </w:footnote>
  <w:footnote w:type="continuationSeparator" w:id="0">
    <w:p w14:paraId="07346DCB" w14:textId="77777777" w:rsidR="00CF5A23" w:rsidRDefault="00CF5A23">
      <w:r>
        <w:continuationSeparator/>
      </w:r>
    </w:p>
  </w:footnote>
  <w:footnote w:type="continuationNotice" w:id="1">
    <w:p w14:paraId="0DC02E1E" w14:textId="77777777" w:rsidR="00CF5A23" w:rsidRDefault="00CF5A23">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8F4CDD" w:rsidRDefault="008F4CD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945E4"/>
    <w:multiLevelType w:val="hybridMultilevel"/>
    <w:tmpl w:val="06F6483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20D35B2"/>
    <w:multiLevelType w:val="hybridMultilevel"/>
    <w:tmpl w:val="45BA5B64"/>
    <w:lvl w:ilvl="0" w:tplc="96E8B5A4">
      <w:start w:val="1"/>
      <w:numFmt w:val="bullet"/>
      <w:lvlText w:val="•"/>
      <w:lvlJc w:val="left"/>
      <w:pPr>
        <w:tabs>
          <w:tab w:val="num" w:pos="720"/>
        </w:tabs>
        <w:ind w:left="720" w:hanging="360"/>
      </w:pPr>
      <w:rPr>
        <w:rFonts w:ascii="Arial" w:hAnsi="Arial" w:hint="default"/>
      </w:rPr>
    </w:lvl>
    <w:lvl w:ilvl="1" w:tplc="F3C6A358">
      <w:numFmt w:val="bullet"/>
      <w:lvlText w:val="•"/>
      <w:lvlJc w:val="left"/>
      <w:pPr>
        <w:tabs>
          <w:tab w:val="num" w:pos="1440"/>
        </w:tabs>
        <w:ind w:left="1440" w:hanging="360"/>
      </w:pPr>
      <w:rPr>
        <w:rFonts w:ascii="Arial" w:hAnsi="Arial" w:hint="default"/>
      </w:rPr>
    </w:lvl>
    <w:lvl w:ilvl="2" w:tplc="D8502F58" w:tentative="1">
      <w:start w:val="1"/>
      <w:numFmt w:val="bullet"/>
      <w:lvlText w:val="•"/>
      <w:lvlJc w:val="left"/>
      <w:pPr>
        <w:tabs>
          <w:tab w:val="num" w:pos="2160"/>
        </w:tabs>
        <w:ind w:left="2160" w:hanging="360"/>
      </w:pPr>
      <w:rPr>
        <w:rFonts w:ascii="Arial" w:hAnsi="Arial" w:hint="default"/>
      </w:rPr>
    </w:lvl>
    <w:lvl w:ilvl="3" w:tplc="BF687EC6" w:tentative="1">
      <w:start w:val="1"/>
      <w:numFmt w:val="bullet"/>
      <w:lvlText w:val="•"/>
      <w:lvlJc w:val="left"/>
      <w:pPr>
        <w:tabs>
          <w:tab w:val="num" w:pos="2880"/>
        </w:tabs>
        <w:ind w:left="2880" w:hanging="360"/>
      </w:pPr>
      <w:rPr>
        <w:rFonts w:ascii="Arial" w:hAnsi="Arial" w:hint="default"/>
      </w:rPr>
    </w:lvl>
    <w:lvl w:ilvl="4" w:tplc="DC2E5656" w:tentative="1">
      <w:start w:val="1"/>
      <w:numFmt w:val="bullet"/>
      <w:lvlText w:val="•"/>
      <w:lvlJc w:val="left"/>
      <w:pPr>
        <w:tabs>
          <w:tab w:val="num" w:pos="3600"/>
        </w:tabs>
        <w:ind w:left="3600" w:hanging="360"/>
      </w:pPr>
      <w:rPr>
        <w:rFonts w:ascii="Arial" w:hAnsi="Arial" w:hint="default"/>
      </w:rPr>
    </w:lvl>
    <w:lvl w:ilvl="5" w:tplc="81EE13C0" w:tentative="1">
      <w:start w:val="1"/>
      <w:numFmt w:val="bullet"/>
      <w:lvlText w:val="•"/>
      <w:lvlJc w:val="left"/>
      <w:pPr>
        <w:tabs>
          <w:tab w:val="num" w:pos="4320"/>
        </w:tabs>
        <w:ind w:left="4320" w:hanging="360"/>
      </w:pPr>
      <w:rPr>
        <w:rFonts w:ascii="Arial" w:hAnsi="Arial" w:hint="default"/>
      </w:rPr>
    </w:lvl>
    <w:lvl w:ilvl="6" w:tplc="1E32AB56" w:tentative="1">
      <w:start w:val="1"/>
      <w:numFmt w:val="bullet"/>
      <w:lvlText w:val="•"/>
      <w:lvlJc w:val="left"/>
      <w:pPr>
        <w:tabs>
          <w:tab w:val="num" w:pos="5040"/>
        </w:tabs>
        <w:ind w:left="5040" w:hanging="360"/>
      </w:pPr>
      <w:rPr>
        <w:rFonts w:ascii="Arial" w:hAnsi="Arial" w:hint="default"/>
      </w:rPr>
    </w:lvl>
    <w:lvl w:ilvl="7" w:tplc="7720783C" w:tentative="1">
      <w:start w:val="1"/>
      <w:numFmt w:val="bullet"/>
      <w:lvlText w:val="•"/>
      <w:lvlJc w:val="left"/>
      <w:pPr>
        <w:tabs>
          <w:tab w:val="num" w:pos="5760"/>
        </w:tabs>
        <w:ind w:left="5760" w:hanging="360"/>
      </w:pPr>
      <w:rPr>
        <w:rFonts w:ascii="Arial" w:hAnsi="Arial" w:hint="default"/>
      </w:rPr>
    </w:lvl>
    <w:lvl w:ilvl="8" w:tplc="261A00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4"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8"/>
  </w:num>
  <w:num w:numId="14">
    <w:abstractNumId w:val="31"/>
  </w:num>
  <w:num w:numId="15">
    <w:abstractNumId w:val="35"/>
  </w:num>
  <w:num w:numId="16">
    <w:abstractNumId w:val="28"/>
  </w:num>
  <w:num w:numId="17">
    <w:abstractNumId w:val="32"/>
  </w:num>
  <w:num w:numId="18">
    <w:abstractNumId w:val="9"/>
  </w:num>
  <w:num w:numId="19">
    <w:abstractNumId w:val="30"/>
  </w:num>
  <w:num w:numId="20">
    <w:abstractNumId w:val="13"/>
  </w:num>
  <w:num w:numId="21">
    <w:abstractNumId w:val="26"/>
  </w:num>
  <w:num w:numId="22">
    <w:abstractNumId w:val="27"/>
  </w:num>
  <w:num w:numId="23">
    <w:abstractNumId w:val="19"/>
  </w:num>
  <w:num w:numId="24">
    <w:abstractNumId w:val="34"/>
  </w:num>
  <w:num w:numId="25">
    <w:abstractNumId w:val="37"/>
  </w:num>
  <w:num w:numId="26">
    <w:abstractNumId w:val="14"/>
  </w:num>
  <w:num w:numId="27">
    <w:abstractNumId w:val="17"/>
  </w:num>
  <w:num w:numId="28">
    <w:abstractNumId w:val="23"/>
  </w:num>
  <w:num w:numId="29">
    <w:abstractNumId w:val="24"/>
  </w:num>
  <w:num w:numId="30">
    <w:abstractNumId w:val="36"/>
  </w:num>
  <w:num w:numId="31">
    <w:abstractNumId w:val="11"/>
  </w:num>
  <w:num w:numId="32">
    <w:abstractNumId w:val="20"/>
  </w:num>
  <w:num w:numId="33">
    <w:abstractNumId w:val="22"/>
  </w:num>
  <w:num w:numId="34">
    <w:abstractNumId w:val="10"/>
  </w:num>
  <w:num w:numId="35">
    <w:abstractNumId w:val="12"/>
  </w:num>
  <w:num w:numId="36">
    <w:abstractNumId w:val="38"/>
  </w:num>
  <w:num w:numId="37">
    <w:abstractNumId w:val="25"/>
  </w:num>
  <w:num w:numId="38">
    <w:abstractNumId w:val="33"/>
  </w:num>
  <w:num w:numId="39">
    <w:abstractNumId w:val="21"/>
  </w:num>
  <w:num w:numId="40">
    <w:abstractNumId w:val="15"/>
  </w:num>
  <w:num w:numId="4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62D"/>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7"/>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3ECC"/>
    <w:rsid w:val="00055076"/>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C33"/>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5D4"/>
    <w:rsid w:val="000936CD"/>
    <w:rsid w:val="000952CC"/>
    <w:rsid w:val="0009616C"/>
    <w:rsid w:val="00096BD0"/>
    <w:rsid w:val="000972D6"/>
    <w:rsid w:val="0009770F"/>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A3D"/>
    <w:rsid w:val="000B4EB7"/>
    <w:rsid w:val="000B551E"/>
    <w:rsid w:val="000B60C1"/>
    <w:rsid w:val="000B64F3"/>
    <w:rsid w:val="000B6B29"/>
    <w:rsid w:val="000B78E7"/>
    <w:rsid w:val="000C073E"/>
    <w:rsid w:val="000C0923"/>
    <w:rsid w:val="000C0BDD"/>
    <w:rsid w:val="000C127E"/>
    <w:rsid w:val="000C1696"/>
    <w:rsid w:val="000C1A54"/>
    <w:rsid w:val="000C1A9D"/>
    <w:rsid w:val="000C1E8A"/>
    <w:rsid w:val="000C1F90"/>
    <w:rsid w:val="000C1FE3"/>
    <w:rsid w:val="000C3137"/>
    <w:rsid w:val="000C3F33"/>
    <w:rsid w:val="000C542B"/>
    <w:rsid w:val="000C54A9"/>
    <w:rsid w:val="000C55BB"/>
    <w:rsid w:val="000C561D"/>
    <w:rsid w:val="000C5A1A"/>
    <w:rsid w:val="000C5B86"/>
    <w:rsid w:val="000C5E20"/>
    <w:rsid w:val="000C5FFE"/>
    <w:rsid w:val="000C693F"/>
    <w:rsid w:val="000C6E03"/>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D97"/>
    <w:rsid w:val="000F4E9B"/>
    <w:rsid w:val="000F58B9"/>
    <w:rsid w:val="000F5CC6"/>
    <w:rsid w:val="000F6DB2"/>
    <w:rsid w:val="000F7412"/>
    <w:rsid w:val="000F78D5"/>
    <w:rsid w:val="000F7FF1"/>
    <w:rsid w:val="00100029"/>
    <w:rsid w:val="001012AD"/>
    <w:rsid w:val="00101837"/>
    <w:rsid w:val="00102511"/>
    <w:rsid w:val="00102D3B"/>
    <w:rsid w:val="0010331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6E7"/>
    <w:rsid w:val="00135CFC"/>
    <w:rsid w:val="001361EF"/>
    <w:rsid w:val="00136339"/>
    <w:rsid w:val="00136DAA"/>
    <w:rsid w:val="0014086A"/>
    <w:rsid w:val="00140EEE"/>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2149"/>
    <w:rsid w:val="00152411"/>
    <w:rsid w:val="00152794"/>
    <w:rsid w:val="00152920"/>
    <w:rsid w:val="001530C9"/>
    <w:rsid w:val="001542DB"/>
    <w:rsid w:val="00154431"/>
    <w:rsid w:val="00154714"/>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973"/>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1AE"/>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389D"/>
    <w:rsid w:val="001A48D6"/>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5FD"/>
    <w:rsid w:val="00257ABE"/>
    <w:rsid w:val="00260177"/>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492B"/>
    <w:rsid w:val="00285C93"/>
    <w:rsid w:val="0028611F"/>
    <w:rsid w:val="0028720B"/>
    <w:rsid w:val="002879CF"/>
    <w:rsid w:val="00287BC1"/>
    <w:rsid w:val="00292924"/>
    <w:rsid w:val="00292994"/>
    <w:rsid w:val="00292E10"/>
    <w:rsid w:val="00292EEF"/>
    <w:rsid w:val="00293BD8"/>
    <w:rsid w:val="00294902"/>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DF3"/>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90F"/>
    <w:rsid w:val="002B5A50"/>
    <w:rsid w:val="002B5A9F"/>
    <w:rsid w:val="002B5FFA"/>
    <w:rsid w:val="002B65F3"/>
    <w:rsid w:val="002B6DEC"/>
    <w:rsid w:val="002B7015"/>
    <w:rsid w:val="002B71BD"/>
    <w:rsid w:val="002B77E3"/>
    <w:rsid w:val="002B7B9D"/>
    <w:rsid w:val="002C04C9"/>
    <w:rsid w:val="002C05A1"/>
    <w:rsid w:val="002C066B"/>
    <w:rsid w:val="002C1051"/>
    <w:rsid w:val="002C286F"/>
    <w:rsid w:val="002C2E93"/>
    <w:rsid w:val="002C31FA"/>
    <w:rsid w:val="002C4900"/>
    <w:rsid w:val="002C5E83"/>
    <w:rsid w:val="002C5FFC"/>
    <w:rsid w:val="002C6131"/>
    <w:rsid w:val="002C7B3D"/>
    <w:rsid w:val="002C7B59"/>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57E4"/>
    <w:rsid w:val="002E60F0"/>
    <w:rsid w:val="002E6186"/>
    <w:rsid w:val="002E7283"/>
    <w:rsid w:val="002E72E7"/>
    <w:rsid w:val="002E7382"/>
    <w:rsid w:val="002E7387"/>
    <w:rsid w:val="002F058C"/>
    <w:rsid w:val="002F0B40"/>
    <w:rsid w:val="002F1912"/>
    <w:rsid w:val="002F1A33"/>
    <w:rsid w:val="002F1D1E"/>
    <w:rsid w:val="002F2269"/>
    <w:rsid w:val="002F28CE"/>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2704"/>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37C8F"/>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36D"/>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BAF"/>
    <w:rsid w:val="003A1CEA"/>
    <w:rsid w:val="003A1E21"/>
    <w:rsid w:val="003A1EDC"/>
    <w:rsid w:val="003A29A9"/>
    <w:rsid w:val="003A2C72"/>
    <w:rsid w:val="003A2D85"/>
    <w:rsid w:val="003A3640"/>
    <w:rsid w:val="003A37FB"/>
    <w:rsid w:val="003A409E"/>
    <w:rsid w:val="003A54D4"/>
    <w:rsid w:val="003A6FBE"/>
    <w:rsid w:val="003B033D"/>
    <w:rsid w:val="003B0614"/>
    <w:rsid w:val="003B0694"/>
    <w:rsid w:val="003B1002"/>
    <w:rsid w:val="003B11C5"/>
    <w:rsid w:val="003B1936"/>
    <w:rsid w:val="003B1D86"/>
    <w:rsid w:val="003B1FBC"/>
    <w:rsid w:val="003B25EA"/>
    <w:rsid w:val="003B2910"/>
    <w:rsid w:val="003B4D01"/>
    <w:rsid w:val="003B52BE"/>
    <w:rsid w:val="003B555B"/>
    <w:rsid w:val="003B611D"/>
    <w:rsid w:val="003B61DE"/>
    <w:rsid w:val="003B688D"/>
    <w:rsid w:val="003B78A9"/>
    <w:rsid w:val="003B7E3E"/>
    <w:rsid w:val="003C1A62"/>
    <w:rsid w:val="003C1C09"/>
    <w:rsid w:val="003C234F"/>
    <w:rsid w:val="003C236C"/>
    <w:rsid w:val="003C2A30"/>
    <w:rsid w:val="003C2B5C"/>
    <w:rsid w:val="003C3E94"/>
    <w:rsid w:val="003C496F"/>
    <w:rsid w:val="003C671D"/>
    <w:rsid w:val="003C6FBF"/>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3B5"/>
    <w:rsid w:val="003F44BB"/>
    <w:rsid w:val="003F45A0"/>
    <w:rsid w:val="003F48D8"/>
    <w:rsid w:val="003F623A"/>
    <w:rsid w:val="003F6499"/>
    <w:rsid w:val="003F69F5"/>
    <w:rsid w:val="00400603"/>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3208"/>
    <w:rsid w:val="004141D7"/>
    <w:rsid w:val="00414899"/>
    <w:rsid w:val="004148C4"/>
    <w:rsid w:val="00415018"/>
    <w:rsid w:val="004155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81"/>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9D6"/>
    <w:rsid w:val="00460D02"/>
    <w:rsid w:val="0046165C"/>
    <w:rsid w:val="00462DB2"/>
    <w:rsid w:val="004630B7"/>
    <w:rsid w:val="004631D6"/>
    <w:rsid w:val="004641F9"/>
    <w:rsid w:val="00464271"/>
    <w:rsid w:val="004643FF"/>
    <w:rsid w:val="004647E7"/>
    <w:rsid w:val="00464DD9"/>
    <w:rsid w:val="00464F29"/>
    <w:rsid w:val="00465747"/>
    <w:rsid w:val="004657F9"/>
    <w:rsid w:val="00465ED8"/>
    <w:rsid w:val="004667AB"/>
    <w:rsid w:val="004669C1"/>
    <w:rsid w:val="00466EBA"/>
    <w:rsid w:val="004677A8"/>
    <w:rsid w:val="0047089D"/>
    <w:rsid w:val="0047144E"/>
    <w:rsid w:val="00472D6C"/>
    <w:rsid w:val="00473732"/>
    <w:rsid w:val="00473A9F"/>
    <w:rsid w:val="0047416B"/>
    <w:rsid w:val="004741EC"/>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2A1"/>
    <w:rsid w:val="004D34D7"/>
    <w:rsid w:val="004D3983"/>
    <w:rsid w:val="004D3C82"/>
    <w:rsid w:val="004D4A81"/>
    <w:rsid w:val="004D4D6D"/>
    <w:rsid w:val="004D51F9"/>
    <w:rsid w:val="004D5375"/>
    <w:rsid w:val="004D62C7"/>
    <w:rsid w:val="004D75A2"/>
    <w:rsid w:val="004D7919"/>
    <w:rsid w:val="004E07F0"/>
    <w:rsid w:val="004E10AF"/>
    <w:rsid w:val="004E1F70"/>
    <w:rsid w:val="004E2BF8"/>
    <w:rsid w:val="004E2C53"/>
    <w:rsid w:val="004E32A1"/>
    <w:rsid w:val="004E368C"/>
    <w:rsid w:val="004E3F4A"/>
    <w:rsid w:val="004E4221"/>
    <w:rsid w:val="004E4B37"/>
    <w:rsid w:val="004E5BAA"/>
    <w:rsid w:val="004E5D96"/>
    <w:rsid w:val="004F0593"/>
    <w:rsid w:val="004F0AB7"/>
    <w:rsid w:val="004F0E26"/>
    <w:rsid w:val="004F13B0"/>
    <w:rsid w:val="004F1443"/>
    <w:rsid w:val="004F1997"/>
    <w:rsid w:val="004F2004"/>
    <w:rsid w:val="004F21BD"/>
    <w:rsid w:val="004F2B88"/>
    <w:rsid w:val="004F351A"/>
    <w:rsid w:val="004F3DE6"/>
    <w:rsid w:val="004F445A"/>
    <w:rsid w:val="004F5EDE"/>
    <w:rsid w:val="00500D62"/>
    <w:rsid w:val="00500D79"/>
    <w:rsid w:val="005014DB"/>
    <w:rsid w:val="00502910"/>
    <w:rsid w:val="00502E46"/>
    <w:rsid w:val="005035CB"/>
    <w:rsid w:val="00503F6F"/>
    <w:rsid w:val="005045D6"/>
    <w:rsid w:val="00504EF3"/>
    <w:rsid w:val="0050547A"/>
    <w:rsid w:val="0050568A"/>
    <w:rsid w:val="005068D5"/>
    <w:rsid w:val="005073A2"/>
    <w:rsid w:val="00507C3B"/>
    <w:rsid w:val="00510B36"/>
    <w:rsid w:val="005110F6"/>
    <w:rsid w:val="00511B41"/>
    <w:rsid w:val="00512266"/>
    <w:rsid w:val="005123DD"/>
    <w:rsid w:val="00512BE3"/>
    <w:rsid w:val="00512EEB"/>
    <w:rsid w:val="0051340C"/>
    <w:rsid w:val="00513BB1"/>
    <w:rsid w:val="00513DA4"/>
    <w:rsid w:val="00514F8A"/>
    <w:rsid w:val="00515003"/>
    <w:rsid w:val="00515632"/>
    <w:rsid w:val="0051614F"/>
    <w:rsid w:val="005164C5"/>
    <w:rsid w:val="00516720"/>
    <w:rsid w:val="005176CA"/>
    <w:rsid w:val="005201F8"/>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399D"/>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0FAD"/>
    <w:rsid w:val="005617D6"/>
    <w:rsid w:val="00561FBE"/>
    <w:rsid w:val="005627AF"/>
    <w:rsid w:val="00563583"/>
    <w:rsid w:val="005638F7"/>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037"/>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62F9"/>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1B5"/>
    <w:rsid w:val="005F1762"/>
    <w:rsid w:val="005F2940"/>
    <w:rsid w:val="005F2B6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5AD1"/>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359"/>
    <w:rsid w:val="00652856"/>
    <w:rsid w:val="00653AFF"/>
    <w:rsid w:val="00653B58"/>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3AAA"/>
    <w:rsid w:val="00664F67"/>
    <w:rsid w:val="00665839"/>
    <w:rsid w:val="006658AE"/>
    <w:rsid w:val="00665B65"/>
    <w:rsid w:val="00665E1E"/>
    <w:rsid w:val="00666864"/>
    <w:rsid w:val="00667028"/>
    <w:rsid w:val="006709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47"/>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33"/>
    <w:rsid w:val="00686D5A"/>
    <w:rsid w:val="00687A4C"/>
    <w:rsid w:val="00687A9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AAA"/>
    <w:rsid w:val="006A1D42"/>
    <w:rsid w:val="006A1E0F"/>
    <w:rsid w:val="006A20E2"/>
    <w:rsid w:val="006A26F6"/>
    <w:rsid w:val="006A30B3"/>
    <w:rsid w:val="006A3655"/>
    <w:rsid w:val="006A3742"/>
    <w:rsid w:val="006A3A05"/>
    <w:rsid w:val="006A50C9"/>
    <w:rsid w:val="006A5E6F"/>
    <w:rsid w:val="006A60C9"/>
    <w:rsid w:val="006A6CF5"/>
    <w:rsid w:val="006A73B6"/>
    <w:rsid w:val="006B0A1C"/>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B7C6D"/>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403F"/>
    <w:rsid w:val="006D508F"/>
    <w:rsid w:val="006D54BC"/>
    <w:rsid w:val="006D566B"/>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12BF"/>
    <w:rsid w:val="00703587"/>
    <w:rsid w:val="007037DF"/>
    <w:rsid w:val="00704113"/>
    <w:rsid w:val="007047C0"/>
    <w:rsid w:val="00704ABD"/>
    <w:rsid w:val="00704F60"/>
    <w:rsid w:val="007058B6"/>
    <w:rsid w:val="00705E14"/>
    <w:rsid w:val="00707F8A"/>
    <w:rsid w:val="007104D7"/>
    <w:rsid w:val="00712E6B"/>
    <w:rsid w:val="0071376A"/>
    <w:rsid w:val="007149DB"/>
    <w:rsid w:val="00715368"/>
    <w:rsid w:val="0071665D"/>
    <w:rsid w:val="00717452"/>
    <w:rsid w:val="00717EDA"/>
    <w:rsid w:val="00720614"/>
    <w:rsid w:val="00720FB9"/>
    <w:rsid w:val="00721020"/>
    <w:rsid w:val="00721889"/>
    <w:rsid w:val="00721899"/>
    <w:rsid w:val="00721C56"/>
    <w:rsid w:val="00721E6F"/>
    <w:rsid w:val="0072233F"/>
    <w:rsid w:val="007224D4"/>
    <w:rsid w:val="00722A12"/>
    <w:rsid w:val="007230D5"/>
    <w:rsid w:val="00724EA8"/>
    <w:rsid w:val="007256EC"/>
    <w:rsid w:val="007259F9"/>
    <w:rsid w:val="00725F3C"/>
    <w:rsid w:val="0072695D"/>
    <w:rsid w:val="00727214"/>
    <w:rsid w:val="00727502"/>
    <w:rsid w:val="0072758A"/>
    <w:rsid w:val="00727C6B"/>
    <w:rsid w:val="00731019"/>
    <w:rsid w:val="00732678"/>
    <w:rsid w:val="00732810"/>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5D6"/>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004"/>
    <w:rsid w:val="00770D57"/>
    <w:rsid w:val="00771627"/>
    <w:rsid w:val="00771CE1"/>
    <w:rsid w:val="00773633"/>
    <w:rsid w:val="00773DD9"/>
    <w:rsid w:val="00774EF7"/>
    <w:rsid w:val="007758DB"/>
    <w:rsid w:val="007765F9"/>
    <w:rsid w:val="00776F63"/>
    <w:rsid w:val="007776E8"/>
    <w:rsid w:val="00777734"/>
    <w:rsid w:val="007800AE"/>
    <w:rsid w:val="00780CFB"/>
    <w:rsid w:val="00781C5D"/>
    <w:rsid w:val="00781E4B"/>
    <w:rsid w:val="0078208B"/>
    <w:rsid w:val="0078321A"/>
    <w:rsid w:val="007844D4"/>
    <w:rsid w:val="00784948"/>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730"/>
    <w:rsid w:val="007B3806"/>
    <w:rsid w:val="007B3867"/>
    <w:rsid w:val="007B39B9"/>
    <w:rsid w:val="007B3D6A"/>
    <w:rsid w:val="007B4F60"/>
    <w:rsid w:val="007B551C"/>
    <w:rsid w:val="007B6265"/>
    <w:rsid w:val="007B6545"/>
    <w:rsid w:val="007B65ED"/>
    <w:rsid w:val="007B6B1C"/>
    <w:rsid w:val="007C040A"/>
    <w:rsid w:val="007C0909"/>
    <w:rsid w:val="007C12B3"/>
    <w:rsid w:val="007C16E6"/>
    <w:rsid w:val="007C220F"/>
    <w:rsid w:val="007C287A"/>
    <w:rsid w:val="007C34ED"/>
    <w:rsid w:val="007C3596"/>
    <w:rsid w:val="007C3BA6"/>
    <w:rsid w:val="007C3C85"/>
    <w:rsid w:val="007C4382"/>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69"/>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C41"/>
    <w:rsid w:val="00813D10"/>
    <w:rsid w:val="00813E13"/>
    <w:rsid w:val="00813E16"/>
    <w:rsid w:val="00814212"/>
    <w:rsid w:val="0081422C"/>
    <w:rsid w:val="008150A7"/>
    <w:rsid w:val="00817727"/>
    <w:rsid w:val="00817934"/>
    <w:rsid w:val="00817A3B"/>
    <w:rsid w:val="00820186"/>
    <w:rsid w:val="008202FA"/>
    <w:rsid w:val="00820783"/>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477F7"/>
    <w:rsid w:val="00851CD4"/>
    <w:rsid w:val="00852463"/>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A8"/>
    <w:rsid w:val="00874A1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1BC3"/>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5970"/>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8E3"/>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4CDD"/>
    <w:rsid w:val="008F5144"/>
    <w:rsid w:val="008F6985"/>
    <w:rsid w:val="008F7D1C"/>
    <w:rsid w:val="00900AAC"/>
    <w:rsid w:val="0090186F"/>
    <w:rsid w:val="00901E6B"/>
    <w:rsid w:val="00901EC8"/>
    <w:rsid w:val="009029B7"/>
    <w:rsid w:val="00903278"/>
    <w:rsid w:val="00903C0C"/>
    <w:rsid w:val="00903D47"/>
    <w:rsid w:val="00903F68"/>
    <w:rsid w:val="009042BB"/>
    <w:rsid w:val="009044B3"/>
    <w:rsid w:val="009048D4"/>
    <w:rsid w:val="00904C03"/>
    <w:rsid w:val="00904DBB"/>
    <w:rsid w:val="00904F63"/>
    <w:rsid w:val="00904FA9"/>
    <w:rsid w:val="0090563A"/>
    <w:rsid w:val="00905BBB"/>
    <w:rsid w:val="00905C71"/>
    <w:rsid w:val="0090612D"/>
    <w:rsid w:val="009067CD"/>
    <w:rsid w:val="00906DA5"/>
    <w:rsid w:val="00910A48"/>
    <w:rsid w:val="00910CEB"/>
    <w:rsid w:val="00912CD5"/>
    <w:rsid w:val="0091328D"/>
    <w:rsid w:val="00913807"/>
    <w:rsid w:val="00913964"/>
    <w:rsid w:val="00914A5C"/>
    <w:rsid w:val="00914D25"/>
    <w:rsid w:val="009158B8"/>
    <w:rsid w:val="0091629F"/>
    <w:rsid w:val="00916913"/>
    <w:rsid w:val="0092132C"/>
    <w:rsid w:val="00921603"/>
    <w:rsid w:val="009216E9"/>
    <w:rsid w:val="00922C48"/>
    <w:rsid w:val="00923332"/>
    <w:rsid w:val="00923775"/>
    <w:rsid w:val="00923DF0"/>
    <w:rsid w:val="0092463C"/>
    <w:rsid w:val="00924C24"/>
    <w:rsid w:val="00925E4F"/>
    <w:rsid w:val="00926CD4"/>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660"/>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5B9"/>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2D"/>
    <w:rsid w:val="009E68E9"/>
    <w:rsid w:val="009E6A93"/>
    <w:rsid w:val="009E7B77"/>
    <w:rsid w:val="009F397F"/>
    <w:rsid w:val="009F5324"/>
    <w:rsid w:val="009F562B"/>
    <w:rsid w:val="009F5ED9"/>
    <w:rsid w:val="009F6220"/>
    <w:rsid w:val="009F7B43"/>
    <w:rsid w:val="009F7CCD"/>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9F0"/>
    <w:rsid w:val="00A15EF8"/>
    <w:rsid w:val="00A16979"/>
    <w:rsid w:val="00A16E65"/>
    <w:rsid w:val="00A1758B"/>
    <w:rsid w:val="00A200E6"/>
    <w:rsid w:val="00A21498"/>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9B0"/>
    <w:rsid w:val="00A52AFF"/>
    <w:rsid w:val="00A5323A"/>
    <w:rsid w:val="00A54D68"/>
    <w:rsid w:val="00A55001"/>
    <w:rsid w:val="00A55949"/>
    <w:rsid w:val="00A55E9F"/>
    <w:rsid w:val="00A56E20"/>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13B"/>
    <w:rsid w:val="00A8029D"/>
    <w:rsid w:val="00A8054D"/>
    <w:rsid w:val="00A81724"/>
    <w:rsid w:val="00A81CED"/>
    <w:rsid w:val="00A8226B"/>
    <w:rsid w:val="00A82AEC"/>
    <w:rsid w:val="00A82EAD"/>
    <w:rsid w:val="00A83570"/>
    <w:rsid w:val="00A83962"/>
    <w:rsid w:val="00A83EAD"/>
    <w:rsid w:val="00A8408B"/>
    <w:rsid w:val="00A84ED3"/>
    <w:rsid w:val="00A85A94"/>
    <w:rsid w:val="00A86144"/>
    <w:rsid w:val="00A868CB"/>
    <w:rsid w:val="00A86BD9"/>
    <w:rsid w:val="00A87A1F"/>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1C3"/>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5A95"/>
    <w:rsid w:val="00B25ECD"/>
    <w:rsid w:val="00B2613A"/>
    <w:rsid w:val="00B27203"/>
    <w:rsid w:val="00B277EC"/>
    <w:rsid w:val="00B27F1B"/>
    <w:rsid w:val="00B30128"/>
    <w:rsid w:val="00B30C1B"/>
    <w:rsid w:val="00B334CB"/>
    <w:rsid w:val="00B34E40"/>
    <w:rsid w:val="00B36319"/>
    <w:rsid w:val="00B3634B"/>
    <w:rsid w:val="00B37257"/>
    <w:rsid w:val="00B40AF0"/>
    <w:rsid w:val="00B411BD"/>
    <w:rsid w:val="00B4204E"/>
    <w:rsid w:val="00B4254A"/>
    <w:rsid w:val="00B425FA"/>
    <w:rsid w:val="00B42CF2"/>
    <w:rsid w:val="00B42E58"/>
    <w:rsid w:val="00B42EE6"/>
    <w:rsid w:val="00B4323F"/>
    <w:rsid w:val="00B43967"/>
    <w:rsid w:val="00B4654F"/>
    <w:rsid w:val="00B465D4"/>
    <w:rsid w:val="00B468DD"/>
    <w:rsid w:val="00B46975"/>
    <w:rsid w:val="00B50BA1"/>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3F7"/>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D0C"/>
    <w:rsid w:val="00C148CA"/>
    <w:rsid w:val="00C148FF"/>
    <w:rsid w:val="00C14997"/>
    <w:rsid w:val="00C150DD"/>
    <w:rsid w:val="00C15F39"/>
    <w:rsid w:val="00C16297"/>
    <w:rsid w:val="00C165BD"/>
    <w:rsid w:val="00C16847"/>
    <w:rsid w:val="00C16CC4"/>
    <w:rsid w:val="00C21C95"/>
    <w:rsid w:val="00C21CE8"/>
    <w:rsid w:val="00C23234"/>
    <w:rsid w:val="00C23CEC"/>
    <w:rsid w:val="00C241A6"/>
    <w:rsid w:val="00C242F8"/>
    <w:rsid w:val="00C24731"/>
    <w:rsid w:val="00C247F9"/>
    <w:rsid w:val="00C260BE"/>
    <w:rsid w:val="00C263F2"/>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2F5E"/>
    <w:rsid w:val="00C632C1"/>
    <w:rsid w:val="00C63CFA"/>
    <w:rsid w:val="00C63FD8"/>
    <w:rsid w:val="00C6421D"/>
    <w:rsid w:val="00C64502"/>
    <w:rsid w:val="00C65DB8"/>
    <w:rsid w:val="00C66887"/>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837"/>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9BF"/>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B7DB5"/>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33B1"/>
    <w:rsid w:val="00CD4753"/>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23"/>
    <w:rsid w:val="00CF5A3E"/>
    <w:rsid w:val="00CF6404"/>
    <w:rsid w:val="00CF79C8"/>
    <w:rsid w:val="00D00121"/>
    <w:rsid w:val="00D0079C"/>
    <w:rsid w:val="00D025A7"/>
    <w:rsid w:val="00D030B3"/>
    <w:rsid w:val="00D030F4"/>
    <w:rsid w:val="00D04554"/>
    <w:rsid w:val="00D04674"/>
    <w:rsid w:val="00D054CD"/>
    <w:rsid w:val="00D0574D"/>
    <w:rsid w:val="00D06987"/>
    <w:rsid w:val="00D074B8"/>
    <w:rsid w:val="00D07633"/>
    <w:rsid w:val="00D1036A"/>
    <w:rsid w:val="00D1116A"/>
    <w:rsid w:val="00D11227"/>
    <w:rsid w:val="00D113A7"/>
    <w:rsid w:val="00D1159A"/>
    <w:rsid w:val="00D129BC"/>
    <w:rsid w:val="00D140EB"/>
    <w:rsid w:val="00D152AC"/>
    <w:rsid w:val="00D15A96"/>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5B07"/>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22F"/>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504"/>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3C7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7DE"/>
    <w:rsid w:val="00DC5A04"/>
    <w:rsid w:val="00DC5A33"/>
    <w:rsid w:val="00DC5A49"/>
    <w:rsid w:val="00DC602C"/>
    <w:rsid w:val="00DC6BCD"/>
    <w:rsid w:val="00DC6BF2"/>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B9C"/>
    <w:rsid w:val="00DE1EB0"/>
    <w:rsid w:val="00DE2C14"/>
    <w:rsid w:val="00DE360B"/>
    <w:rsid w:val="00DE36C8"/>
    <w:rsid w:val="00DE3781"/>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407"/>
    <w:rsid w:val="00E33659"/>
    <w:rsid w:val="00E33A08"/>
    <w:rsid w:val="00E33CFA"/>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3EB"/>
    <w:rsid w:val="00E53C23"/>
    <w:rsid w:val="00E53D3E"/>
    <w:rsid w:val="00E54ACE"/>
    <w:rsid w:val="00E54AF2"/>
    <w:rsid w:val="00E54B86"/>
    <w:rsid w:val="00E54FFE"/>
    <w:rsid w:val="00E55333"/>
    <w:rsid w:val="00E558D5"/>
    <w:rsid w:val="00E55BED"/>
    <w:rsid w:val="00E61080"/>
    <w:rsid w:val="00E62540"/>
    <w:rsid w:val="00E63653"/>
    <w:rsid w:val="00E6392F"/>
    <w:rsid w:val="00E64250"/>
    <w:rsid w:val="00E647ED"/>
    <w:rsid w:val="00E6483C"/>
    <w:rsid w:val="00E650DD"/>
    <w:rsid w:val="00E655AF"/>
    <w:rsid w:val="00E65D20"/>
    <w:rsid w:val="00E6723C"/>
    <w:rsid w:val="00E6771F"/>
    <w:rsid w:val="00E7006B"/>
    <w:rsid w:val="00E70914"/>
    <w:rsid w:val="00E7130A"/>
    <w:rsid w:val="00E715FF"/>
    <w:rsid w:val="00E71749"/>
    <w:rsid w:val="00E73448"/>
    <w:rsid w:val="00E73F44"/>
    <w:rsid w:val="00E74ED6"/>
    <w:rsid w:val="00E76461"/>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EDA"/>
    <w:rsid w:val="00EB5F16"/>
    <w:rsid w:val="00EB6406"/>
    <w:rsid w:val="00EB6441"/>
    <w:rsid w:val="00EB72B0"/>
    <w:rsid w:val="00EB79BB"/>
    <w:rsid w:val="00EB79E9"/>
    <w:rsid w:val="00EB79F7"/>
    <w:rsid w:val="00EC017D"/>
    <w:rsid w:val="00EC0CAE"/>
    <w:rsid w:val="00EC0DDB"/>
    <w:rsid w:val="00EC0E40"/>
    <w:rsid w:val="00EC1876"/>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CB8"/>
    <w:rsid w:val="00F02D44"/>
    <w:rsid w:val="00F03CB5"/>
    <w:rsid w:val="00F041E1"/>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6909"/>
    <w:rsid w:val="00F27AD4"/>
    <w:rsid w:val="00F27E4F"/>
    <w:rsid w:val="00F3078C"/>
    <w:rsid w:val="00F30FD0"/>
    <w:rsid w:val="00F31CA3"/>
    <w:rsid w:val="00F32EB6"/>
    <w:rsid w:val="00F33730"/>
    <w:rsid w:val="00F3376B"/>
    <w:rsid w:val="00F33874"/>
    <w:rsid w:val="00F35540"/>
    <w:rsid w:val="00F3588D"/>
    <w:rsid w:val="00F358CB"/>
    <w:rsid w:val="00F35B47"/>
    <w:rsid w:val="00F35B56"/>
    <w:rsid w:val="00F36464"/>
    <w:rsid w:val="00F3655E"/>
    <w:rsid w:val="00F375C8"/>
    <w:rsid w:val="00F3760F"/>
    <w:rsid w:val="00F402D4"/>
    <w:rsid w:val="00F4085B"/>
    <w:rsid w:val="00F41409"/>
    <w:rsid w:val="00F41586"/>
    <w:rsid w:val="00F41A46"/>
    <w:rsid w:val="00F41F50"/>
    <w:rsid w:val="00F426F1"/>
    <w:rsid w:val="00F42F63"/>
    <w:rsid w:val="00F4307E"/>
    <w:rsid w:val="00F43B76"/>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1E1"/>
    <w:rsid w:val="00F5747F"/>
    <w:rsid w:val="00F576A2"/>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5CFC"/>
    <w:rsid w:val="00F7600C"/>
    <w:rsid w:val="00F77C3D"/>
    <w:rsid w:val="00F77CAA"/>
    <w:rsid w:val="00F77E74"/>
    <w:rsid w:val="00F801C5"/>
    <w:rsid w:val="00F80F65"/>
    <w:rsid w:val="00F810CD"/>
    <w:rsid w:val="00F816EC"/>
    <w:rsid w:val="00F81BB5"/>
    <w:rsid w:val="00F82477"/>
    <w:rsid w:val="00F82EC0"/>
    <w:rsid w:val="00F837CF"/>
    <w:rsid w:val="00F84C04"/>
    <w:rsid w:val="00F85115"/>
    <w:rsid w:val="00F85605"/>
    <w:rsid w:val="00F8596E"/>
    <w:rsid w:val="00F864CA"/>
    <w:rsid w:val="00F86C4B"/>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189"/>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73A"/>
    <w:rsid w:val="00FE78B0"/>
    <w:rsid w:val="00FF065B"/>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998774873">
      <w:bodyDiv w:val="1"/>
      <w:marLeft w:val="0"/>
      <w:marRight w:val="0"/>
      <w:marTop w:val="0"/>
      <w:marBottom w:val="0"/>
      <w:divBdr>
        <w:top w:val="none" w:sz="0" w:space="0" w:color="auto"/>
        <w:left w:val="none" w:sz="0" w:space="0" w:color="auto"/>
        <w:bottom w:val="none" w:sz="0" w:space="0" w:color="auto"/>
        <w:right w:val="none" w:sz="0" w:space="0" w:color="auto"/>
      </w:divBdr>
      <w:divsChild>
        <w:div w:id="519854549">
          <w:marLeft w:val="360"/>
          <w:marRight w:val="0"/>
          <w:marTop w:val="200"/>
          <w:marBottom w:val="0"/>
          <w:divBdr>
            <w:top w:val="none" w:sz="0" w:space="0" w:color="auto"/>
            <w:left w:val="none" w:sz="0" w:space="0" w:color="auto"/>
            <w:bottom w:val="none" w:sz="0" w:space="0" w:color="auto"/>
            <w:right w:val="none" w:sz="0" w:space="0" w:color="auto"/>
          </w:divBdr>
        </w:div>
        <w:div w:id="2009364536">
          <w:marLeft w:val="360"/>
          <w:marRight w:val="0"/>
          <w:marTop w:val="200"/>
          <w:marBottom w:val="0"/>
          <w:divBdr>
            <w:top w:val="none" w:sz="0" w:space="0" w:color="auto"/>
            <w:left w:val="none" w:sz="0" w:space="0" w:color="auto"/>
            <w:bottom w:val="none" w:sz="0" w:space="0" w:color="auto"/>
            <w:right w:val="none" w:sz="0" w:space="0" w:color="auto"/>
          </w:divBdr>
        </w:div>
        <w:div w:id="1171067241">
          <w:marLeft w:val="1080"/>
          <w:marRight w:val="0"/>
          <w:marTop w:val="100"/>
          <w:marBottom w:val="0"/>
          <w:divBdr>
            <w:top w:val="none" w:sz="0" w:space="0" w:color="auto"/>
            <w:left w:val="none" w:sz="0" w:space="0" w:color="auto"/>
            <w:bottom w:val="none" w:sz="0" w:space="0" w:color="auto"/>
            <w:right w:val="none" w:sz="0" w:space="0" w:color="auto"/>
          </w:divBdr>
        </w:div>
        <w:div w:id="678429892">
          <w:marLeft w:val="1080"/>
          <w:marRight w:val="0"/>
          <w:marTop w:val="100"/>
          <w:marBottom w:val="0"/>
          <w:divBdr>
            <w:top w:val="none" w:sz="0" w:space="0" w:color="auto"/>
            <w:left w:val="none" w:sz="0" w:space="0" w:color="auto"/>
            <w:bottom w:val="none" w:sz="0" w:space="0" w:color="auto"/>
            <w:right w:val="none" w:sz="0" w:space="0" w:color="auto"/>
          </w:divBdr>
        </w:div>
        <w:div w:id="1010833255">
          <w:marLeft w:val="1080"/>
          <w:marRight w:val="0"/>
          <w:marTop w:val="100"/>
          <w:marBottom w:val="0"/>
          <w:divBdr>
            <w:top w:val="none" w:sz="0" w:space="0" w:color="auto"/>
            <w:left w:val="none" w:sz="0" w:space="0" w:color="auto"/>
            <w:bottom w:val="none" w:sz="0" w:space="0" w:color="auto"/>
            <w:right w:val="none" w:sz="0" w:space="0" w:color="auto"/>
          </w:divBdr>
        </w:div>
        <w:div w:id="1653951347">
          <w:marLeft w:val="360"/>
          <w:marRight w:val="0"/>
          <w:marTop w:val="200"/>
          <w:marBottom w:val="0"/>
          <w:divBdr>
            <w:top w:val="none" w:sz="0" w:space="0" w:color="auto"/>
            <w:left w:val="none" w:sz="0" w:space="0" w:color="auto"/>
            <w:bottom w:val="none" w:sz="0" w:space="0" w:color="auto"/>
            <w:right w:val="none" w:sz="0" w:space="0" w:color="auto"/>
          </w:divBdr>
        </w:div>
        <w:div w:id="1933397739">
          <w:marLeft w:val="360"/>
          <w:marRight w:val="0"/>
          <w:marTop w:val="200"/>
          <w:marBottom w:val="0"/>
          <w:divBdr>
            <w:top w:val="none" w:sz="0" w:space="0" w:color="auto"/>
            <w:left w:val="none" w:sz="0" w:space="0" w:color="auto"/>
            <w:bottom w:val="none" w:sz="0" w:space="0" w:color="auto"/>
            <w:right w:val="none" w:sz="0" w:space="0" w:color="auto"/>
          </w:divBdr>
        </w:div>
        <w:div w:id="399252560">
          <w:marLeft w:val="1080"/>
          <w:marRight w:val="0"/>
          <w:marTop w:val="100"/>
          <w:marBottom w:val="0"/>
          <w:divBdr>
            <w:top w:val="none" w:sz="0" w:space="0" w:color="auto"/>
            <w:left w:val="none" w:sz="0" w:space="0" w:color="auto"/>
            <w:bottom w:val="none" w:sz="0" w:space="0" w:color="auto"/>
            <w:right w:val="none" w:sz="0" w:space="0" w:color="auto"/>
          </w:divBdr>
        </w:div>
        <w:div w:id="536355268">
          <w:marLeft w:val="1080"/>
          <w:marRight w:val="0"/>
          <w:marTop w:val="100"/>
          <w:marBottom w:val="0"/>
          <w:divBdr>
            <w:top w:val="none" w:sz="0" w:space="0" w:color="auto"/>
            <w:left w:val="none" w:sz="0" w:space="0" w:color="auto"/>
            <w:bottom w:val="none" w:sz="0" w:space="0" w:color="auto"/>
            <w:right w:val="none" w:sz="0" w:space="0" w:color="auto"/>
          </w:divBdr>
        </w:div>
        <w:div w:id="296421818">
          <w:marLeft w:val="1080"/>
          <w:marRight w:val="0"/>
          <w:marTop w:val="100"/>
          <w:marBottom w:val="0"/>
          <w:divBdr>
            <w:top w:val="none" w:sz="0" w:space="0" w:color="auto"/>
            <w:left w:val="none" w:sz="0" w:space="0" w:color="auto"/>
            <w:bottom w:val="none" w:sz="0" w:space="0" w:color="auto"/>
            <w:right w:val="none" w:sz="0" w:space="0" w:color="auto"/>
          </w:divBdr>
        </w:div>
        <w:div w:id="1804150591">
          <w:marLeft w:val="360"/>
          <w:marRight w:val="0"/>
          <w:marTop w:val="200"/>
          <w:marBottom w:val="0"/>
          <w:divBdr>
            <w:top w:val="none" w:sz="0" w:space="0" w:color="auto"/>
            <w:left w:val="none" w:sz="0" w:space="0" w:color="auto"/>
            <w:bottom w:val="none" w:sz="0" w:space="0" w:color="auto"/>
            <w:right w:val="none" w:sz="0" w:space="0" w:color="auto"/>
          </w:divBdr>
        </w:div>
        <w:div w:id="1028531442">
          <w:marLeft w:val="1080"/>
          <w:marRight w:val="0"/>
          <w:marTop w:val="100"/>
          <w:marBottom w:val="0"/>
          <w:divBdr>
            <w:top w:val="none" w:sz="0" w:space="0" w:color="auto"/>
            <w:left w:val="none" w:sz="0" w:space="0" w:color="auto"/>
            <w:bottom w:val="none" w:sz="0" w:space="0" w:color="auto"/>
            <w:right w:val="none" w:sz="0" w:space="0" w:color="auto"/>
          </w:divBdr>
        </w:div>
        <w:div w:id="25110055">
          <w:marLeft w:val="360"/>
          <w:marRight w:val="0"/>
          <w:marTop w:val="200"/>
          <w:marBottom w:val="0"/>
          <w:divBdr>
            <w:top w:val="none" w:sz="0" w:space="0" w:color="auto"/>
            <w:left w:val="none" w:sz="0" w:space="0" w:color="auto"/>
            <w:bottom w:val="none" w:sz="0" w:space="0" w:color="auto"/>
            <w:right w:val="none" w:sz="0" w:space="0" w:color="auto"/>
          </w:divBdr>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2.xml><?xml version="1.0" encoding="utf-8"?>
<ds:datastoreItem xmlns:ds="http://schemas.openxmlformats.org/officeDocument/2006/customXml" ds:itemID="{4B29C12E-BC02-48C0-A2A0-A53378D8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F0142-E792-45EF-A0AC-98BF3D72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jmceachern@atis.org</dc:creator>
  <cp:keywords/>
  <dc:description/>
  <cp:lastModifiedBy>Jim McEachern</cp:lastModifiedBy>
  <cp:revision>3</cp:revision>
  <cp:lastPrinted>2020-03-24T15:26:00Z</cp:lastPrinted>
  <dcterms:created xsi:type="dcterms:W3CDTF">2020-05-15T02:54:00Z</dcterms:created>
  <dcterms:modified xsi:type="dcterms:W3CDTF">2020-05-15T02:55:00Z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