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11" w:rsidRPr="0054409A" w:rsidRDefault="0054409A" w:rsidP="0054409A">
      <w:pPr>
        <w:adjustRightInd w:val="0"/>
        <w:jc w:val="left"/>
        <w:rPr>
          <w:rFonts w:eastAsia="SimSun"/>
          <w:color w:val="000000"/>
          <w:lang w:eastAsia="zh-CN" w:bidi="he-IL"/>
        </w:rPr>
      </w:pPr>
      <w:r>
        <w:rPr>
          <w:rFonts w:eastAsia="SimSun"/>
          <w:color w:val="000000"/>
          <w:lang w:eastAsia="zh-CN" w:bidi="he-IL"/>
        </w:rPr>
        <w:t>ATIS/SIP Forum NNI Task Force</w:t>
      </w:r>
      <w:r>
        <w:rPr>
          <w:rFonts w:eastAsia="SimSun"/>
          <w:color w:val="000000"/>
          <w:lang w:eastAsia="zh-CN" w:bidi="he-IL"/>
        </w:rPr>
        <w:br/>
      </w:r>
      <w:r w:rsidRPr="0054409A">
        <w:rPr>
          <w:rFonts w:eastAsia="SimSun"/>
          <w:color w:val="000000"/>
          <w:lang w:eastAsia="zh-CN" w:bidi="he-IL"/>
        </w:rPr>
        <w:t>March 31, 2014</w:t>
      </w:r>
    </w:p>
    <w:p w:rsidR="004A1C11" w:rsidRDefault="004A1C11" w:rsidP="004A1C11">
      <w:pPr>
        <w:adjustRightInd w:val="0"/>
        <w:jc w:val="center"/>
        <w:rPr>
          <w:rFonts w:eastAsia="SimSun"/>
          <w:b/>
          <w:color w:val="000000"/>
          <w:lang w:eastAsia="zh-CN" w:bidi="he-IL"/>
        </w:rPr>
      </w:pPr>
    </w:p>
    <w:p w:rsidR="0054409A" w:rsidRPr="002B2C7C" w:rsidRDefault="0054409A" w:rsidP="004A1C11">
      <w:pPr>
        <w:adjustRightInd w:val="0"/>
        <w:jc w:val="center"/>
        <w:rPr>
          <w:rFonts w:eastAsia="SimSun"/>
          <w:b/>
          <w:color w:val="000000"/>
          <w:lang w:eastAsia="zh-CN" w:bidi="he-IL"/>
        </w:rPr>
      </w:pPr>
    </w:p>
    <w:p w:rsidR="004A1C11" w:rsidRPr="002B2C7C" w:rsidRDefault="004A1C11" w:rsidP="004A1C11">
      <w:pPr>
        <w:autoSpaceDE w:val="0"/>
        <w:autoSpaceDN w:val="0"/>
        <w:adjustRightInd w:val="0"/>
        <w:ind w:right="20"/>
        <w:jc w:val="center"/>
      </w:pPr>
      <w:r>
        <w:rPr>
          <w:b/>
          <w:bCs/>
          <w:color w:val="000000"/>
        </w:rPr>
        <w:t>Contribution</w:t>
      </w:r>
      <w:r w:rsidRPr="002B2C7C">
        <w:rPr>
          <w:b/>
          <w:bCs/>
          <w:color w:val="000000"/>
        </w:rPr>
        <w:t xml:space="preserve"> </w:t>
      </w:r>
    </w:p>
    <w:p w:rsidR="004A1C11" w:rsidRPr="00E718CC" w:rsidRDefault="004A1C11" w:rsidP="004A1C11">
      <w:r w:rsidRPr="002B2C7C">
        <w:rPr>
          <w:b/>
          <w:bCs/>
          <w:color w:val="000000"/>
        </w:rPr>
        <w:t xml:space="preserve">TITLE: </w:t>
      </w:r>
      <w:r w:rsidR="001218DF" w:rsidRPr="001218DF">
        <w:rPr>
          <w:lang w:val="en-CA"/>
        </w:rPr>
        <w:t>The Current Routing Solution Description Using Public Routing Data</w:t>
      </w:r>
    </w:p>
    <w:p w:rsidR="004A1C11" w:rsidRPr="00E718CC" w:rsidRDefault="004A1C11" w:rsidP="004A1C11">
      <w:r w:rsidRPr="00165923">
        <w:rPr>
          <w:b/>
          <w:bCs/>
          <w:color w:val="000000"/>
        </w:rPr>
        <w:t>SOURCE*:</w:t>
      </w:r>
      <w:r>
        <w:rPr>
          <w:b/>
          <w:bCs/>
          <w:color w:val="000000"/>
        </w:rPr>
        <w:t xml:space="preserve"> Verizon,</w:t>
      </w:r>
      <w:r w:rsidRPr="00165923">
        <w:rPr>
          <w:b/>
          <w:bCs/>
          <w:color w:val="000000"/>
        </w:rPr>
        <w:t xml:space="preserve"> </w:t>
      </w:r>
      <w:r>
        <w:rPr>
          <w:bCs/>
          <w:color w:val="000000"/>
        </w:rPr>
        <w:t>Mark Desterdick</w:t>
      </w:r>
    </w:p>
    <w:p w:rsidR="004A1C11" w:rsidRPr="0012376A" w:rsidRDefault="004A1C11" w:rsidP="004A1C11"/>
    <w:p w:rsidR="004A1C11" w:rsidRPr="00E718CC" w:rsidRDefault="004A1C11" w:rsidP="004A1C11">
      <w:pPr>
        <w:autoSpaceDE w:val="0"/>
        <w:autoSpaceDN w:val="0"/>
        <w:adjustRightInd w:val="0"/>
        <w:ind w:right="20"/>
        <w:jc w:val="center"/>
      </w:pPr>
      <w:r w:rsidRPr="00165923">
        <w:rPr>
          <w:b/>
          <w:bCs/>
          <w:color w:val="000000"/>
        </w:rPr>
        <w:t xml:space="preserve">_______________________________ </w:t>
      </w:r>
    </w:p>
    <w:p w:rsidR="004A1C11" w:rsidRPr="00E718CC" w:rsidRDefault="004A1C11" w:rsidP="004A1C11">
      <w:pPr>
        <w:autoSpaceDE w:val="0"/>
        <w:autoSpaceDN w:val="0"/>
        <w:adjustRightInd w:val="0"/>
        <w:ind w:right="20"/>
        <w:jc w:val="center"/>
      </w:pPr>
      <w:r w:rsidRPr="00165923">
        <w:rPr>
          <w:b/>
          <w:bCs/>
          <w:color w:val="000000"/>
        </w:rPr>
        <w:t xml:space="preserve">ABSTRACT </w:t>
      </w:r>
    </w:p>
    <w:p w:rsidR="004A1C11" w:rsidRPr="00E718CC" w:rsidRDefault="004A1C11" w:rsidP="004A1C11">
      <w:pPr>
        <w:autoSpaceDE w:val="0"/>
        <w:autoSpaceDN w:val="0"/>
        <w:adjustRightInd w:val="0"/>
        <w:ind w:right="20"/>
        <w:jc w:val="center"/>
      </w:pPr>
      <w:r>
        <w:rPr>
          <w:bCs/>
          <w:color w:val="000000"/>
        </w:rPr>
        <w:t xml:space="preserve">This document </w:t>
      </w:r>
      <w:r w:rsidRPr="00416D9E">
        <w:rPr>
          <w:bCs/>
          <w:color w:val="000000"/>
        </w:rPr>
        <w:t>illustrate</w:t>
      </w:r>
      <w:r>
        <w:rPr>
          <w:bCs/>
          <w:color w:val="000000"/>
        </w:rPr>
        <w:t>s</w:t>
      </w:r>
      <w:r w:rsidRPr="00416D9E">
        <w:rPr>
          <w:bCs/>
          <w:color w:val="000000"/>
        </w:rPr>
        <w:t xml:space="preserve"> some of the mechanisms currently in use and/or being deployed to facilitate the exchange</w:t>
      </w:r>
      <w:r>
        <w:rPr>
          <w:bCs/>
          <w:color w:val="000000"/>
        </w:rPr>
        <w:t xml:space="preserve"> of traffic associated with IP-</w:t>
      </w:r>
      <w:r w:rsidRPr="00416D9E">
        <w:rPr>
          <w:bCs/>
          <w:color w:val="000000"/>
        </w:rPr>
        <w:t>based multimedia services (e.g., VoIP) between North American service providers</w:t>
      </w:r>
      <w:r>
        <w:rPr>
          <w:bCs/>
          <w:color w:val="000000"/>
        </w:rPr>
        <w:t>. It provides a proposed solution for the ATIS/SIP Forum NNI Task Force to evaluate in the process of coming to a recommendation for an industry consensus approach that can be used immediately without any modifications to industry databases for all North American service providers.</w:t>
      </w:r>
      <w:r w:rsidRPr="00E718CC">
        <w:br/>
      </w:r>
    </w:p>
    <w:p w:rsidR="0054409A" w:rsidRDefault="0054409A" w:rsidP="004A1C11">
      <w:pPr>
        <w:adjustRightInd w:val="0"/>
        <w:rPr>
          <w:rFonts w:eastAsia="SimSun"/>
        </w:rPr>
      </w:pPr>
    </w:p>
    <w:p w:rsidR="00A418AE" w:rsidRPr="00E718CC" w:rsidRDefault="00A418AE" w:rsidP="004A1C11">
      <w:pPr>
        <w:adjustRightInd w:val="0"/>
        <w:rPr>
          <w:rFonts w:eastAsia="SimSun"/>
        </w:rPr>
      </w:pPr>
    </w:p>
    <w:p w:rsidR="004A1C11" w:rsidRPr="00E718CC" w:rsidRDefault="004A1C11" w:rsidP="004A1C11">
      <w:pPr>
        <w:adjustRightInd w:val="0"/>
        <w:rPr>
          <w:rFonts w:eastAsia="SimSun"/>
        </w:rPr>
      </w:pPr>
    </w:p>
    <w:p w:rsidR="004A1C11" w:rsidRPr="00165923" w:rsidRDefault="004A1C11" w:rsidP="004A1C11">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rsidR="004A1C11" w:rsidRPr="00165923" w:rsidRDefault="004A1C11" w:rsidP="004A1C11">
      <w:pPr>
        <w:pBdr>
          <w:bottom w:val="single" w:sz="4" w:space="1" w:color="auto"/>
        </w:pBdr>
        <w:adjustRightInd w:val="0"/>
        <w:jc w:val="center"/>
        <w:rPr>
          <w:rFonts w:eastAsia="SimSun"/>
          <w:b/>
          <w:color w:val="000000"/>
          <w:sz w:val="20"/>
          <w:lang w:eastAsia="zh-CN" w:bidi="he-IL"/>
        </w:rPr>
      </w:pPr>
    </w:p>
    <w:p w:rsidR="004A1C11" w:rsidRPr="00165923" w:rsidRDefault="004A1C11" w:rsidP="004A1C11">
      <w:pPr>
        <w:adjustRightInd w:val="0"/>
        <w:rPr>
          <w:rFonts w:eastAsia="SimSun"/>
          <w:color w:val="000000"/>
          <w:sz w:val="20"/>
          <w:lang w:eastAsia="zh-CN" w:bidi="he-IL"/>
        </w:rPr>
      </w:pPr>
    </w:p>
    <w:p w:rsidR="004A1C11" w:rsidRPr="00E17A45" w:rsidRDefault="004A1C11" w:rsidP="004A1C11">
      <w:pPr>
        <w:rPr>
          <w:color w:val="000000"/>
          <w:sz w:val="20"/>
          <w:szCs w:val="18"/>
        </w:rPr>
      </w:pPr>
      <w:r w:rsidRPr="00E17A45">
        <w:rPr>
          <w:color w:val="000000"/>
          <w:sz w:val="20"/>
          <w:szCs w:val="18"/>
        </w:rPr>
        <w:t>This is a draft document and thus, is dynamic in nature. It does not reflect a consensus of the ATIS</w:t>
      </w:r>
      <w:r>
        <w:rPr>
          <w:color w:val="000000"/>
          <w:sz w:val="20"/>
          <w:szCs w:val="18"/>
        </w:rPr>
        <w:t>-SIP Forum IP-NNI Task Force</w:t>
      </w:r>
      <w:r w:rsidRPr="00E17A45">
        <w:rPr>
          <w:color w:val="000000"/>
          <w:sz w:val="20"/>
          <w:szCs w:val="18"/>
        </w:rPr>
        <w:t xml:space="preserve"> and it may be changed or modified. Neither ATIS nor the </w:t>
      </w:r>
      <w:r>
        <w:rPr>
          <w:color w:val="000000"/>
          <w:sz w:val="20"/>
          <w:szCs w:val="18"/>
        </w:rPr>
        <w:t>SIP Forum makes</w:t>
      </w:r>
      <w:r w:rsidRPr="00E17A45">
        <w:rPr>
          <w:color w:val="000000"/>
          <w:sz w:val="20"/>
          <w:szCs w:val="18"/>
        </w:rPr>
        <w:t xml:space="preserve"> any representation or warranty, express or implied, with respect to the sufficiency, accuracy or utility of the information or opinion contained or reflected in the material utilized. ATIS </w:t>
      </w:r>
      <w:r>
        <w:rPr>
          <w:color w:val="000000"/>
          <w:sz w:val="20"/>
          <w:szCs w:val="18"/>
        </w:rPr>
        <w:t>and the SIP Forum further expressly advise</w:t>
      </w:r>
      <w:r w:rsidRPr="00E17A45">
        <w:rPr>
          <w:color w:val="000000"/>
          <w:sz w:val="20"/>
          <w:szCs w:val="18"/>
        </w:rPr>
        <w:t xml:space="preserve"> that any use of or reliance upon the material in question is at your risk and neither ATIS nor the </w:t>
      </w:r>
      <w:r>
        <w:rPr>
          <w:color w:val="000000"/>
          <w:sz w:val="20"/>
          <w:szCs w:val="18"/>
        </w:rPr>
        <w:t xml:space="preserve">SIP Forum </w:t>
      </w:r>
      <w:r w:rsidRPr="00E17A45">
        <w:rPr>
          <w:color w:val="000000"/>
          <w:sz w:val="2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 w:val="20"/>
          <w:szCs w:val="18"/>
        </w:rPr>
        <w:t xml:space="preserve"> or the SIP Forum</w:t>
      </w:r>
      <w:r w:rsidRPr="00E17A45">
        <w:rPr>
          <w:color w:val="000000"/>
          <w:sz w:val="20"/>
          <w:szCs w:val="18"/>
        </w:rPr>
        <w:t xml:space="preserve">.  </w:t>
      </w:r>
    </w:p>
    <w:p w:rsidR="004A1C11" w:rsidRPr="00165923" w:rsidRDefault="004A1C11" w:rsidP="004A1C11">
      <w:pPr>
        <w:pBdr>
          <w:bottom w:val="single" w:sz="4" w:space="1" w:color="auto"/>
        </w:pBdr>
        <w:adjustRightInd w:val="0"/>
        <w:rPr>
          <w:rFonts w:eastAsia="SimSun"/>
          <w:color w:val="000000"/>
          <w:sz w:val="20"/>
          <w:lang w:eastAsia="zh-CN" w:bidi="he-IL"/>
        </w:rPr>
      </w:pPr>
    </w:p>
    <w:p w:rsidR="004A1C11" w:rsidRDefault="004A1C11" w:rsidP="004A1C11">
      <w:r w:rsidRPr="00165923">
        <w:rPr>
          <w:rFonts w:eastAsia="SimSun"/>
          <w:color w:val="000000"/>
          <w:sz w:val="20"/>
          <w:lang w:eastAsia="zh-CN" w:bidi="he-IL"/>
        </w:rPr>
        <w:t xml:space="preserve">* CONTACT: </w:t>
      </w:r>
      <w:r>
        <w:rPr>
          <w:rFonts w:eastAsia="SimSun"/>
          <w:color w:val="000000"/>
          <w:sz w:val="20"/>
          <w:lang w:eastAsia="zh-CN" w:bidi="he-IL"/>
        </w:rPr>
        <w:t>Mark Desterdick</w:t>
      </w:r>
      <w:r w:rsidRPr="00165923">
        <w:rPr>
          <w:rFonts w:eastAsia="SimSun"/>
          <w:color w:val="000000"/>
          <w:sz w:val="20"/>
          <w:lang w:eastAsia="zh-CN" w:bidi="he-IL"/>
        </w:rPr>
        <w:t>; e</w:t>
      </w:r>
      <w:r w:rsidRPr="002C662E">
        <w:rPr>
          <w:rFonts w:eastAsia="SimSun"/>
          <w:color w:val="000000"/>
          <w:sz w:val="20"/>
          <w:lang w:eastAsia="zh-CN" w:bidi="he-IL"/>
        </w:rPr>
        <w:t xml:space="preserve">mail: </w:t>
      </w:r>
      <w:r>
        <w:rPr>
          <w:rFonts w:eastAsia="SimSun"/>
          <w:color w:val="000000"/>
          <w:sz w:val="20"/>
          <w:lang w:eastAsia="zh-CN" w:bidi="he-IL"/>
        </w:rPr>
        <w:t>desterdick@verizon.com</w:t>
      </w:r>
      <w:r w:rsidRPr="002C662E">
        <w:rPr>
          <w:rFonts w:eastAsia="SimSun"/>
          <w:color w:val="000000"/>
          <w:sz w:val="20"/>
          <w:lang w:eastAsia="zh-CN" w:bidi="he-IL"/>
        </w:rPr>
        <w:t>;</w:t>
      </w:r>
      <w:r>
        <w:rPr>
          <w:rFonts w:eastAsia="SimSun"/>
          <w:color w:val="000000"/>
          <w:sz w:val="20"/>
          <w:lang w:eastAsia="zh-CN" w:bidi="he-IL"/>
        </w:rPr>
        <w:t xml:space="preserve"> </w:t>
      </w:r>
      <w:r w:rsidRPr="00165923">
        <w:rPr>
          <w:rFonts w:eastAsia="SimSun"/>
          <w:color w:val="000000"/>
          <w:sz w:val="20"/>
          <w:lang w:eastAsia="zh-CN" w:bidi="he-IL"/>
        </w:rPr>
        <w:t xml:space="preserve">Tel: </w:t>
      </w:r>
      <w:r>
        <w:rPr>
          <w:rFonts w:eastAsia="SimSun"/>
          <w:color w:val="000000"/>
          <w:sz w:val="20"/>
          <w:lang w:eastAsia="zh-CN" w:bidi="he-IL"/>
        </w:rPr>
        <w:t>+1212-681-5626</w:t>
      </w:r>
    </w:p>
    <w:p w:rsidR="00BF7171" w:rsidRDefault="004A1C11" w:rsidP="004A1C11">
      <w:pPr>
        <w:pStyle w:val="Heading1"/>
      </w:pPr>
      <w:r w:rsidRPr="005A4710">
        <w:br w:type="page"/>
      </w:r>
      <w:r w:rsidR="008F2C7D">
        <w:lastRenderedPageBreak/>
        <w:t>Introduction</w:t>
      </w:r>
    </w:p>
    <w:p w:rsidR="00E4128F" w:rsidRDefault="00B07B73" w:rsidP="00A566B6">
      <w:pPr>
        <w:jc w:val="left"/>
      </w:pPr>
      <w:r>
        <w:t xml:space="preserve">This solution is in use today and is </w:t>
      </w:r>
      <w:r w:rsidR="001840B4">
        <w:t xml:space="preserve">based on </w:t>
      </w:r>
      <w:r>
        <w:t xml:space="preserve">existing processes for the sharing of </w:t>
      </w:r>
      <w:r w:rsidR="00F43000">
        <w:t xml:space="preserve">Public Routing Data provisioned </w:t>
      </w:r>
      <w:r>
        <w:t xml:space="preserve">in the </w:t>
      </w:r>
      <w:r w:rsidR="00F43000">
        <w:t>NPAC and LERG</w:t>
      </w:r>
      <w:r>
        <w:t xml:space="preserve">. </w:t>
      </w:r>
      <w:r w:rsidR="001840B4">
        <w:t xml:space="preserve">This </w:t>
      </w:r>
      <w:r w:rsidR="001E25C9">
        <w:t>solution</w:t>
      </w:r>
      <w:r w:rsidR="001840B4">
        <w:t xml:space="preserve"> has several strengths in that it is implementable now with relatively low cost, is flexible and has high availability in that all data required for real time call processing resides within the service provider network.</w:t>
      </w:r>
      <w:r w:rsidR="001E25C9">
        <w:t xml:space="preserve">  This current soluti</w:t>
      </w:r>
      <w:r w:rsidR="00CE4C04">
        <w:t xml:space="preserve">on can work in a hybrid TDM / </w:t>
      </w:r>
      <w:r w:rsidR="001E25C9">
        <w:t>IP environment, an all IP network</w:t>
      </w:r>
      <w:r w:rsidR="00CE4C04">
        <w:t>,</w:t>
      </w:r>
      <w:r w:rsidR="001E25C9">
        <w:t xml:space="preserve"> and co-exist with a global solution beyond North America.</w:t>
      </w:r>
    </w:p>
    <w:p w:rsidR="00DB70A5" w:rsidRDefault="00B07B73" w:rsidP="00B07B73">
      <w:pPr>
        <w:jc w:val="left"/>
      </w:pPr>
      <w:r w:rsidRPr="00B07B73">
        <w:t xml:space="preserve">The Local Exchange Routing Guide (LERG) produces output files used by SPs to identify the TDM switch serving the called party. In the LERG, each NPA-NXX is associated with a unique switch CLLI and during call processing the originating SP switch uses the NPA-NXX of the called party’s TN to determine the trunk group used to transport the call to that TDM switch. </w:t>
      </w:r>
    </w:p>
    <w:p w:rsidR="00B07B73" w:rsidRPr="00B07B73" w:rsidRDefault="00B07B73" w:rsidP="00B07B73">
      <w:pPr>
        <w:jc w:val="left"/>
      </w:pPr>
      <w:r w:rsidRPr="00B07B73">
        <w:t>With the introduction of Local Number Portability, for numbers shown in the NPAC the NPA-NXX of the called party’s TN is no longer valid since the number has been ported to another TDM switch. In this case, the NPA-NXX of the LRN shown in the NPAC must be used with</w:t>
      </w:r>
      <w:r w:rsidR="00CE4C04">
        <w:t xml:space="preserve"> </w:t>
      </w:r>
      <w:r w:rsidRPr="00B07B73">
        <w:t xml:space="preserve">LERG </w:t>
      </w:r>
      <w:r w:rsidR="00CE4C04">
        <w:t xml:space="preserve">data </w:t>
      </w:r>
      <w:r w:rsidRPr="00B07B73">
        <w:t xml:space="preserve">to identify the destination TDM switch. During call processing, if the called party’s TN is associated with an LRN, then the LRN is used to identify the terminating TDM switch. If there is no LRN associated with the called party’s TN, the NPA-NXX of the called party’s TN is used to identify the terminating TDM switch.   </w:t>
      </w:r>
    </w:p>
    <w:p w:rsidR="00B07B73" w:rsidRPr="00B07B73" w:rsidRDefault="00B07B73" w:rsidP="00B07B73">
      <w:pPr>
        <w:jc w:val="left"/>
      </w:pPr>
      <w:r w:rsidRPr="00B07B73">
        <w:t xml:space="preserve">Given at this time VoIP providers cannot be directly assigned numbering resources, many rely upon their CLEC partners to obtain TNs on their behalf in LATAs across the country. Given all TNs must be accessible by the TDM PSTN, these CLEC partners receive TDM calls destine to/from the VoIP provider’s customers, and as part of their </w:t>
      </w:r>
      <w:r>
        <w:t xml:space="preserve">CLEC </w:t>
      </w:r>
      <w:r w:rsidRPr="00B07B73">
        <w:t xml:space="preserve">service to the VoIP provider, also perform the TDM to IP conversion for these calls. In some instances, a CLEC will create “secondary LRNs” by utilizing the last four digits of their switch’s LRN to uniquely identify TNs served by the VoIP SP. These “secondary LRNs” are published by the CLEC in the NPAC so that they are sent during call processing to the terminating TDM CLEC switch, this way the CLEC knows which calls to route to the VoIP partner’s IP Switch. In some cases, CLECs create unique secondary LRNs for each of their VoIP provider partners so that calls may be routed by the CLEC to the correct VoIP provider. </w:t>
      </w:r>
    </w:p>
    <w:p w:rsidR="00B07B73" w:rsidRPr="00B07B73" w:rsidRDefault="00B07B73" w:rsidP="00B07B73">
      <w:pPr>
        <w:jc w:val="left"/>
      </w:pPr>
      <w:r w:rsidRPr="00B07B73">
        <w:t xml:space="preserve">Given the improved capabilities and quality achieved by keeping IP-to-IP calls IP all the way, SPs are entering into voluntary </w:t>
      </w:r>
      <w:r w:rsidR="0056056C">
        <w:t xml:space="preserve">commercial </w:t>
      </w:r>
      <w:r w:rsidRPr="00B07B73">
        <w:t xml:space="preserve">agreements to interconnect via IP. These IP interconnection points are mostly located at “carrier hotels” in major cities. Therefore, the NPA-NXX (or LRN) is used to determine the destination </w:t>
      </w:r>
      <w:r w:rsidR="0056056C">
        <w:t xml:space="preserve">ingress SBC(s) hosted in the </w:t>
      </w:r>
      <w:r w:rsidRPr="00B07B73">
        <w:t>carrier hotel</w:t>
      </w:r>
      <w:r w:rsidR="0056056C">
        <w:t>(s)</w:t>
      </w:r>
      <w:r w:rsidRPr="00B07B73">
        <w:t xml:space="preserve"> identified in the interconnection agreement, and not the TDM switch shown in the Local Exchange Routing Guide. So, during call processing, an SP goes through the ordinary steps to determine if the called party’s NPA-NNX or LRN should be used</w:t>
      </w:r>
      <w:r w:rsidR="0087122C">
        <w:t xml:space="preserve"> for call delivery</w:t>
      </w:r>
      <w:r w:rsidRPr="00B07B73">
        <w:t xml:space="preserve">, but takes an additional step to determine if the NPA-NXX or LRN is covered by an interconnection agreement and should be routed over an existing IP interconnection. If it is determined in this last step that no interconnection agreement covers such NPA-NXX or LRN, then the call is routed over the TDM network. </w:t>
      </w:r>
    </w:p>
    <w:p w:rsidR="00B07B73" w:rsidRDefault="00B07B73" w:rsidP="00B07B73">
      <w:pPr>
        <w:jc w:val="left"/>
      </w:pPr>
      <w:r w:rsidRPr="00B07B73">
        <w:lastRenderedPageBreak/>
        <w:t xml:space="preserve">In summary, call processing still utilizes the NPA-NXX or LRN to </w:t>
      </w:r>
      <w:r w:rsidR="00DF1BD0">
        <w:t xml:space="preserve">identify </w:t>
      </w:r>
      <w:r w:rsidRPr="00B07B73">
        <w:t>the destination, but a second step is taken during call process</w:t>
      </w:r>
      <w:r w:rsidR="00DF1BD0">
        <w:t>ing</w:t>
      </w:r>
      <w:r w:rsidRPr="00B07B73">
        <w:t xml:space="preserve"> to determine if an interconnection agreement covering the NPA-NXX or LRN is in place, allowing the call to be routed over an IP interconnect.</w:t>
      </w:r>
      <w:r w:rsidR="00AE27A2">
        <w:t xml:space="preserve"> </w:t>
      </w:r>
    </w:p>
    <w:p w:rsidR="00EE70EB" w:rsidRDefault="00EE70EB" w:rsidP="00AF0EB3">
      <w:pPr>
        <w:pStyle w:val="Heading1"/>
      </w:pPr>
    </w:p>
    <w:p w:rsidR="00AF0EB3" w:rsidRDefault="00AF0EB3" w:rsidP="00AF0EB3">
      <w:pPr>
        <w:pStyle w:val="Heading1"/>
      </w:pPr>
      <w:r>
        <w:t>Call Flow</w:t>
      </w:r>
    </w:p>
    <w:p w:rsidR="00AF0EB3" w:rsidRDefault="00AF0EB3" w:rsidP="00AF0EB3">
      <w:pPr>
        <w:pStyle w:val="BodyText"/>
      </w:pPr>
      <w:r>
        <w:t>The following is the inter-service provider call flow as shown in Figure Current-1:</w:t>
      </w:r>
    </w:p>
    <w:p w:rsidR="00AF0EB3" w:rsidRDefault="00DA2912" w:rsidP="00AF0EB3">
      <w:pPr>
        <w:pStyle w:val="BodyText"/>
      </w:pPr>
      <w:r w:rsidRPr="00DA2912">
        <w:rPr>
          <w:noProof/>
          <w:lang w:eastAsia="en-US"/>
        </w:rPr>
        <w:drawing>
          <wp:inline distT="0" distB="0" distL="0" distR="0">
            <wp:extent cx="5695950" cy="2465088"/>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695950" cy="2465088"/>
                    </a:xfrm>
                    <a:prstGeom prst="rect">
                      <a:avLst/>
                    </a:prstGeom>
                    <a:noFill/>
                    <a:ln w="9525">
                      <a:noFill/>
                      <a:miter lim="800000"/>
                      <a:headEnd/>
                      <a:tailEnd/>
                    </a:ln>
                  </pic:spPr>
                </pic:pic>
              </a:graphicData>
            </a:graphic>
          </wp:inline>
        </w:drawing>
      </w:r>
    </w:p>
    <w:p w:rsidR="00AF0EB3" w:rsidRPr="009737E5" w:rsidRDefault="00AF0EB3" w:rsidP="00AF0EB3">
      <w:pPr>
        <w:pStyle w:val="BodyText"/>
      </w:pPr>
      <w:r>
        <w:t>Figure Current-1</w:t>
      </w:r>
    </w:p>
    <w:p w:rsidR="00AF0EB3" w:rsidRPr="0021117A" w:rsidRDefault="00AF0EB3" w:rsidP="00C80A72">
      <w:pPr>
        <w:pStyle w:val="BodyText"/>
        <w:numPr>
          <w:ilvl w:val="0"/>
          <w:numId w:val="12"/>
        </w:numPr>
        <w:jc w:val="left"/>
      </w:pPr>
      <w:r w:rsidRPr="0021117A">
        <w:t>Pat (subscriber of SP1) makes a session request (e.g., places a call) to Mike</w:t>
      </w:r>
      <w:r w:rsidR="00C0489C">
        <w:t xml:space="preserve"> </w:t>
      </w:r>
      <w:r w:rsidR="00C0489C" w:rsidRPr="0021117A">
        <w:t>(subscriber of SP</w:t>
      </w:r>
      <w:r w:rsidR="00C0489C">
        <w:t>2</w:t>
      </w:r>
      <w:r w:rsidR="00C0489C" w:rsidRPr="0021117A">
        <w:t>)</w:t>
      </w:r>
      <w:r>
        <w:t>.</w:t>
      </w:r>
    </w:p>
    <w:p w:rsidR="0009728C" w:rsidRDefault="0009728C" w:rsidP="00C80A72">
      <w:pPr>
        <w:pStyle w:val="BodyText"/>
        <w:numPr>
          <w:ilvl w:val="0"/>
          <w:numId w:val="12"/>
        </w:numPr>
        <w:jc w:val="left"/>
      </w:pPr>
      <w:r w:rsidRPr="0021117A">
        <w:t>SP1</w:t>
      </w:r>
      <w:r>
        <w:t>’s</w:t>
      </w:r>
      <w:r w:rsidRPr="0021117A">
        <w:t xml:space="preserve"> network queries its routing service </w:t>
      </w:r>
      <w:r w:rsidR="00525950">
        <w:t xml:space="preserve">in real time </w:t>
      </w:r>
      <w:r>
        <w:t xml:space="preserve">using the called number to determine if </w:t>
      </w:r>
      <w:r w:rsidR="00EA500C">
        <w:t xml:space="preserve">Mike </w:t>
      </w:r>
      <w:r>
        <w:t xml:space="preserve">is </w:t>
      </w:r>
      <w:r w:rsidR="00525950">
        <w:t>part of a group (in this example</w:t>
      </w:r>
      <w:r w:rsidR="00EA500C">
        <w:t>,</w:t>
      </w:r>
      <w:r w:rsidR="00525950">
        <w:t xml:space="preserve"> LRN) </w:t>
      </w:r>
      <w:r>
        <w:t>subject to a voluntary commercial IP interconnectio</w:t>
      </w:r>
      <w:r w:rsidR="00525950">
        <w:t>n</w:t>
      </w:r>
      <w:r w:rsidR="00EA500C">
        <w:t xml:space="preserve">. </w:t>
      </w:r>
      <w:r>
        <w:t xml:space="preserve">(Note, groupings may be based also on NPA-NXX, OCN and switch CLLI, but implementation is </w:t>
      </w:r>
      <w:r w:rsidR="001218DF">
        <w:t>service provider</w:t>
      </w:r>
      <w:r>
        <w:t xml:space="preserve"> specific and subject to commercial agreement).</w:t>
      </w:r>
      <w:r w:rsidR="00525950" w:rsidRPr="00525950">
        <w:t xml:space="preserve"> </w:t>
      </w:r>
      <w:r w:rsidR="00525950">
        <w:t>If not, the call is routed over the PSTN.</w:t>
      </w:r>
    </w:p>
    <w:p w:rsidR="003A5EE2" w:rsidRDefault="00EA500C" w:rsidP="0009728C">
      <w:pPr>
        <w:pStyle w:val="BodyText"/>
        <w:ind w:left="360" w:firstLine="0"/>
        <w:jc w:val="left"/>
      </w:pPr>
      <w:r>
        <w:t>If it is, i</w:t>
      </w:r>
      <w:r w:rsidR="0009728C">
        <w:t xml:space="preserve">n this example </w:t>
      </w:r>
      <w:r w:rsidR="0087122C">
        <w:t>the SP</w:t>
      </w:r>
      <w:r w:rsidR="00AB1164">
        <w:t>1</w:t>
      </w:r>
      <w:r w:rsidR="0087122C">
        <w:t xml:space="preserve"> routing service returns </w:t>
      </w:r>
      <w:r w:rsidR="00C85C3B">
        <w:t xml:space="preserve">a URI </w:t>
      </w:r>
      <w:r w:rsidR="005D1B9F">
        <w:t xml:space="preserve">containing an SRV </w:t>
      </w:r>
      <w:r w:rsidR="00C85C3B">
        <w:t>used</w:t>
      </w:r>
      <w:r w:rsidR="009B1EC1">
        <w:t xml:space="preserve"> to do a </w:t>
      </w:r>
      <w:r w:rsidR="003C6D8B">
        <w:t xml:space="preserve">private </w:t>
      </w:r>
      <w:r w:rsidR="009B1EC1">
        <w:t xml:space="preserve">DNS lookup-up to obtain the IP address </w:t>
      </w:r>
      <w:r w:rsidR="00962EEE">
        <w:t xml:space="preserve">of </w:t>
      </w:r>
      <w:r w:rsidR="009B1EC1">
        <w:t xml:space="preserve">the </w:t>
      </w:r>
      <w:r w:rsidR="00C85C3B">
        <w:t>SP1 egress SBC</w:t>
      </w:r>
      <w:r w:rsidR="00AB1164">
        <w:t xml:space="preserve">. </w:t>
      </w:r>
      <w:r w:rsidR="003A5EE2">
        <w:t xml:space="preserve">(Note, the routing service may return an A record </w:t>
      </w:r>
      <w:r w:rsidR="00343108">
        <w:t xml:space="preserve">for use in </w:t>
      </w:r>
      <w:r w:rsidR="000F4CB0">
        <w:t>a DNS look up</w:t>
      </w:r>
      <w:r w:rsidR="00EE58F1">
        <w:t>,</w:t>
      </w:r>
      <w:r w:rsidR="000F4CB0">
        <w:t xml:space="preserve"> </w:t>
      </w:r>
      <w:r w:rsidR="003A5EE2">
        <w:t xml:space="preserve">or </w:t>
      </w:r>
      <w:r w:rsidR="00E3217D">
        <w:t xml:space="preserve">an </w:t>
      </w:r>
      <w:r w:rsidR="003A5EE2">
        <w:t xml:space="preserve">IP address </w:t>
      </w:r>
      <w:r w:rsidR="00E3217D">
        <w:t>(</w:t>
      </w:r>
      <w:r w:rsidR="003A5EE2">
        <w:t>instead of an SRV</w:t>
      </w:r>
      <w:r w:rsidR="00E3217D">
        <w:t xml:space="preserve"> used in this example)</w:t>
      </w:r>
      <w:r w:rsidR="003C6D8B">
        <w:t xml:space="preserve"> </w:t>
      </w:r>
      <w:r w:rsidR="003A5EE2">
        <w:t xml:space="preserve">but implementation is </w:t>
      </w:r>
      <w:r w:rsidR="001218DF">
        <w:t>service provider</w:t>
      </w:r>
      <w:r w:rsidR="003A5EE2">
        <w:t xml:space="preserve"> specific. </w:t>
      </w:r>
    </w:p>
    <w:p w:rsidR="009B1EC1" w:rsidRDefault="00E3217D" w:rsidP="003A5EE2">
      <w:pPr>
        <w:pStyle w:val="BodyText"/>
        <w:numPr>
          <w:ilvl w:val="0"/>
          <w:numId w:val="12"/>
        </w:numPr>
        <w:jc w:val="left"/>
      </w:pPr>
      <w:r>
        <w:t xml:space="preserve">Depending upon the </w:t>
      </w:r>
      <w:r w:rsidR="001218DF">
        <w:t>service provider</w:t>
      </w:r>
      <w:r>
        <w:t xml:space="preserve"> specific implementation, t</w:t>
      </w:r>
      <w:r w:rsidR="003C6D8B">
        <w:t xml:space="preserve">he application server </w:t>
      </w:r>
      <w:r w:rsidR="000F4CB0">
        <w:t xml:space="preserve">sends </w:t>
      </w:r>
      <w:r w:rsidR="00962EEE">
        <w:t xml:space="preserve">the </w:t>
      </w:r>
      <w:r w:rsidR="000F4CB0">
        <w:t xml:space="preserve">SRV, A record or IP Address to </w:t>
      </w:r>
      <w:r w:rsidR="00962EEE">
        <w:t xml:space="preserve">the </w:t>
      </w:r>
      <w:r>
        <w:t xml:space="preserve">egress </w:t>
      </w:r>
      <w:r w:rsidR="000F4CB0">
        <w:t xml:space="preserve">SBC. </w:t>
      </w:r>
      <w:r w:rsidR="00AB1164">
        <w:t xml:space="preserve">In this </w:t>
      </w:r>
      <w:r w:rsidR="00270C9F">
        <w:t xml:space="preserve">example </w:t>
      </w:r>
      <w:r w:rsidR="00AB1164">
        <w:t>SBC-1</w:t>
      </w:r>
      <w:r w:rsidR="0014119C">
        <w:t xml:space="preserve"> </w:t>
      </w:r>
      <w:r w:rsidR="00270C9F">
        <w:t xml:space="preserve">was selected </w:t>
      </w:r>
      <w:r w:rsidR="0014119C">
        <w:t xml:space="preserve">out of a cluster of available SBCs </w:t>
      </w:r>
      <w:r w:rsidR="0062046D">
        <w:t>into SP2’s network</w:t>
      </w:r>
      <w:r w:rsidR="0014119C">
        <w:t>.</w:t>
      </w:r>
    </w:p>
    <w:p w:rsidR="00E3217D" w:rsidRDefault="00AB1164" w:rsidP="009B1EC1">
      <w:pPr>
        <w:pStyle w:val="BodyText"/>
        <w:numPr>
          <w:ilvl w:val="0"/>
          <w:numId w:val="12"/>
        </w:numPr>
        <w:jc w:val="left"/>
      </w:pPr>
      <w:r>
        <w:t xml:space="preserve">SBC-1 </w:t>
      </w:r>
      <w:r w:rsidR="000F4CB0">
        <w:t>indexes into its routing table</w:t>
      </w:r>
      <w:r w:rsidR="00E3217D">
        <w:t xml:space="preserve">, depending upon the </w:t>
      </w:r>
      <w:r w:rsidR="001218DF">
        <w:t>service provider</w:t>
      </w:r>
      <w:r w:rsidR="00E3217D">
        <w:t xml:space="preserve"> specific implementation</w:t>
      </w:r>
      <w:r w:rsidR="0062046D">
        <w:t xml:space="preserve"> (</w:t>
      </w:r>
      <w:r w:rsidR="00962EEE">
        <w:t xml:space="preserve">using </w:t>
      </w:r>
      <w:r w:rsidR="000F4CB0">
        <w:t>the SRV, A record o</w:t>
      </w:r>
      <w:r w:rsidR="00E3217D">
        <w:t>r IP Address</w:t>
      </w:r>
      <w:r w:rsidR="0062046D">
        <w:t>)</w:t>
      </w:r>
      <w:r w:rsidR="00E3217D">
        <w:t xml:space="preserve"> </w:t>
      </w:r>
      <w:r w:rsidR="005D1B9F">
        <w:t>t</w:t>
      </w:r>
      <w:r>
        <w:t xml:space="preserve">o determine the IP address of the </w:t>
      </w:r>
      <w:r>
        <w:lastRenderedPageBreak/>
        <w:t xml:space="preserve">ingress SBC of SP2. </w:t>
      </w:r>
      <w:r w:rsidR="00AF0EB3" w:rsidRPr="0021117A">
        <w:t xml:space="preserve">In this case that query returns </w:t>
      </w:r>
      <w:r w:rsidR="00E3217D">
        <w:t xml:space="preserve">the </w:t>
      </w:r>
      <w:r w:rsidR="0014119C">
        <w:t xml:space="preserve">IP address of </w:t>
      </w:r>
      <w:r w:rsidR="00AF0EB3" w:rsidRPr="0021117A">
        <w:t>SBC-2</w:t>
      </w:r>
      <w:r w:rsidR="0014119C">
        <w:t xml:space="preserve"> out of a cluster of </w:t>
      </w:r>
      <w:r w:rsidR="00E3217D">
        <w:t xml:space="preserve">available </w:t>
      </w:r>
      <w:r w:rsidR="0014119C">
        <w:t>ingress SBCs into SP2’s network</w:t>
      </w:r>
      <w:r w:rsidR="00AF0EB3" w:rsidRPr="0021117A">
        <w:t xml:space="preserve">.  </w:t>
      </w:r>
    </w:p>
    <w:p w:rsidR="00AF0EB3" w:rsidRDefault="00AF0EB3" w:rsidP="009B1EC1">
      <w:pPr>
        <w:pStyle w:val="BodyText"/>
        <w:numPr>
          <w:ilvl w:val="0"/>
          <w:numId w:val="12"/>
        </w:numPr>
        <w:jc w:val="left"/>
      </w:pPr>
      <w:r w:rsidRPr="0021117A">
        <w:t>SBC-2 admits the message to SP2’s network, forwardin</w:t>
      </w:r>
      <w:r w:rsidR="004079EA">
        <w:t xml:space="preserve">g it to an application server, and eventually </w:t>
      </w:r>
      <w:r w:rsidR="008B662E">
        <w:t xml:space="preserve">to </w:t>
      </w:r>
      <w:r w:rsidR="004079EA">
        <w:t xml:space="preserve">Mike, but how SP2 performs these functions is </w:t>
      </w:r>
      <w:r w:rsidR="001218DF">
        <w:t>service provider</w:t>
      </w:r>
      <w:r w:rsidR="004079EA">
        <w:t xml:space="preserve"> specific.</w:t>
      </w:r>
    </w:p>
    <w:p w:rsidR="009358D5" w:rsidRPr="009358D5" w:rsidRDefault="009358D5" w:rsidP="009358D5">
      <w:pPr>
        <w:pStyle w:val="BodyText"/>
      </w:pPr>
    </w:p>
    <w:p w:rsidR="004016E1" w:rsidRDefault="00EA0EB7" w:rsidP="00EA0EB7">
      <w:pPr>
        <w:pStyle w:val="Heading1"/>
      </w:pPr>
      <w:r>
        <w:t>Provisioning</w:t>
      </w:r>
    </w:p>
    <w:p w:rsidR="00127102" w:rsidRDefault="00127102" w:rsidP="00127102">
      <w:pPr>
        <w:pStyle w:val="BodyText"/>
      </w:pPr>
      <w:r>
        <w:t xml:space="preserve">Provisioning is shown in Figure </w:t>
      </w:r>
      <w:r w:rsidR="00E8245F">
        <w:t>Current</w:t>
      </w:r>
      <w:r>
        <w:t>-</w:t>
      </w:r>
      <w:r w:rsidR="001D0D1A">
        <w:t>2</w:t>
      </w:r>
      <w:r>
        <w:t>:</w:t>
      </w:r>
    </w:p>
    <w:p w:rsidR="001D0D1A" w:rsidRDefault="001D0D1A" w:rsidP="00C95B16">
      <w:pPr>
        <w:pStyle w:val="BodyText"/>
        <w:jc w:val="center"/>
      </w:pPr>
    </w:p>
    <w:p w:rsidR="00B13CDE" w:rsidRDefault="00DA2912" w:rsidP="00C95B16">
      <w:pPr>
        <w:pStyle w:val="BodyText"/>
        <w:jc w:val="center"/>
      </w:pPr>
      <w:r w:rsidRPr="00DA2912">
        <w:rPr>
          <w:noProof/>
          <w:lang w:eastAsia="en-US"/>
        </w:rPr>
        <w:drawing>
          <wp:inline distT="0" distB="0" distL="0" distR="0">
            <wp:extent cx="4314825" cy="380719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17441" cy="3809508"/>
                    </a:xfrm>
                    <a:prstGeom prst="rect">
                      <a:avLst/>
                    </a:prstGeom>
                    <a:noFill/>
                    <a:ln w="9525">
                      <a:noFill/>
                      <a:miter lim="800000"/>
                      <a:headEnd/>
                      <a:tailEnd/>
                    </a:ln>
                  </pic:spPr>
                </pic:pic>
              </a:graphicData>
            </a:graphic>
          </wp:inline>
        </w:drawing>
      </w:r>
      <w:r w:rsidR="001D0D1A" w:rsidRPr="001D0D1A">
        <w:t xml:space="preserve"> </w:t>
      </w:r>
    </w:p>
    <w:p w:rsidR="00B13CDE" w:rsidRDefault="00B13CDE" w:rsidP="00B13CDE">
      <w:pPr>
        <w:pStyle w:val="BodyText"/>
      </w:pPr>
      <w:r>
        <w:t xml:space="preserve">Figure </w:t>
      </w:r>
      <w:r w:rsidR="00C95B16">
        <w:t>Current</w:t>
      </w:r>
      <w:r>
        <w:t>-</w:t>
      </w:r>
      <w:r w:rsidR="001D0D1A">
        <w:t>2</w:t>
      </w:r>
    </w:p>
    <w:p w:rsidR="00DA2912" w:rsidRDefault="00DA2912" w:rsidP="009358D5">
      <w:pPr>
        <w:pStyle w:val="BodyText"/>
        <w:ind w:firstLine="0"/>
        <w:jc w:val="left"/>
      </w:pPr>
    </w:p>
    <w:p w:rsidR="0009728C" w:rsidRDefault="00E8245F" w:rsidP="009358D5">
      <w:pPr>
        <w:pStyle w:val="BodyText"/>
        <w:ind w:firstLine="0"/>
        <w:jc w:val="left"/>
      </w:pPr>
      <w:r>
        <w:t xml:space="preserve">In this provisioning example, </w:t>
      </w:r>
      <w:r w:rsidRPr="00E8245F">
        <w:t>SP1</w:t>
      </w:r>
      <w:r w:rsidR="00D06DCC">
        <w:t xml:space="preserve"> uses an SP2 Profile </w:t>
      </w:r>
      <w:r w:rsidR="00DF1BD0">
        <w:t xml:space="preserve">to populate its routing service </w:t>
      </w:r>
      <w:r w:rsidR="00EA35CF">
        <w:t xml:space="preserve">and SBC routing tables </w:t>
      </w:r>
      <w:r w:rsidR="00D06DCC">
        <w:t xml:space="preserve">based upon information provided </w:t>
      </w:r>
      <w:r w:rsidR="00EA35CF">
        <w:t xml:space="preserve">in the interconnection agreement. In this example, </w:t>
      </w:r>
      <w:r w:rsidR="009358D5">
        <w:t xml:space="preserve">LRNs </w:t>
      </w:r>
      <w:r w:rsidR="00EA35CF">
        <w:t>are correlated to SBC interconnect address’ (points</w:t>
      </w:r>
      <w:r w:rsidR="009358D5">
        <w:t xml:space="preserve"> of ingress</w:t>
      </w:r>
      <w:r w:rsidR="00EA35CF">
        <w:t>)</w:t>
      </w:r>
      <w:r w:rsidR="009358D5">
        <w:t xml:space="preserve"> </w:t>
      </w:r>
      <w:r w:rsidR="00D06DCC">
        <w:t>i</w:t>
      </w:r>
      <w:r w:rsidR="009358D5">
        <w:t xml:space="preserve">nto </w:t>
      </w:r>
      <w:r w:rsidR="00EA35CF">
        <w:t xml:space="preserve">SP2’s </w:t>
      </w:r>
      <w:r w:rsidR="00DF1BD0">
        <w:t>network</w:t>
      </w:r>
      <w:r w:rsidR="00D06DCC">
        <w:t xml:space="preserve">. </w:t>
      </w:r>
    </w:p>
    <w:p w:rsidR="0009728C" w:rsidRDefault="0009728C" w:rsidP="009358D5">
      <w:pPr>
        <w:pStyle w:val="BodyText"/>
        <w:ind w:firstLine="0"/>
        <w:jc w:val="left"/>
      </w:pPr>
    </w:p>
    <w:p w:rsidR="00AF0EB3" w:rsidRDefault="00AF0EB3" w:rsidP="009358D5">
      <w:pPr>
        <w:pStyle w:val="BodyText"/>
        <w:ind w:firstLine="0"/>
        <w:jc w:val="left"/>
      </w:pPr>
    </w:p>
    <w:p w:rsidR="009236FF" w:rsidRDefault="004A3719" w:rsidP="009358D5">
      <w:pPr>
        <w:pStyle w:val="BodyText"/>
        <w:ind w:firstLine="0"/>
        <w:jc w:val="left"/>
      </w:pPr>
      <w:r>
        <w:t>The information provided by SP2 used to create an “SP2 Profile”</w:t>
      </w:r>
      <w:r w:rsidR="005C7C26">
        <w:t xml:space="preserve"> </w:t>
      </w:r>
      <w:r>
        <w:t>include</w:t>
      </w:r>
      <w:r w:rsidR="00AE27A2">
        <w:t>s</w:t>
      </w:r>
      <w:r>
        <w:t>:</w:t>
      </w:r>
    </w:p>
    <w:p w:rsidR="004A3719" w:rsidRDefault="004A3719" w:rsidP="004A3719">
      <w:pPr>
        <w:pStyle w:val="BodyText"/>
        <w:numPr>
          <w:ilvl w:val="0"/>
          <w:numId w:val="18"/>
        </w:numPr>
        <w:jc w:val="left"/>
      </w:pPr>
      <w:r>
        <w:t>Groupings of TNs at the NPA-NXX</w:t>
      </w:r>
      <w:r w:rsidR="00D06DCC">
        <w:t xml:space="preserve">, </w:t>
      </w:r>
      <w:r>
        <w:t>LRN</w:t>
      </w:r>
      <w:r w:rsidR="00D06DCC">
        <w:t>, OCN and</w:t>
      </w:r>
      <w:r w:rsidR="00CE4C04">
        <w:t xml:space="preserve">/or </w:t>
      </w:r>
      <w:r w:rsidR="007C149D">
        <w:t xml:space="preserve">switch </w:t>
      </w:r>
      <w:r w:rsidR="00D06DCC">
        <w:t xml:space="preserve">CLLI level </w:t>
      </w:r>
      <w:r>
        <w:t>to identify if a called number is part of a group covered by an IP interconnection agreement. Numbers may be added or deleted from the</w:t>
      </w:r>
      <w:r w:rsidR="007C149D">
        <w:t xml:space="preserve">se </w:t>
      </w:r>
      <w:r>
        <w:t>group</w:t>
      </w:r>
      <w:r w:rsidR="007C149D">
        <w:t>ing</w:t>
      </w:r>
      <w:r>
        <w:t xml:space="preserve">s without the need to update </w:t>
      </w:r>
      <w:r w:rsidR="005B0245">
        <w:t xml:space="preserve">SP1’s </w:t>
      </w:r>
      <w:r>
        <w:t>routing service</w:t>
      </w:r>
      <w:r w:rsidR="005C7C26">
        <w:t xml:space="preserve"> or SP2</w:t>
      </w:r>
      <w:r w:rsidR="00AE27A2">
        <w:t xml:space="preserve">’s </w:t>
      </w:r>
      <w:r w:rsidR="005C7C26">
        <w:t>Profile</w:t>
      </w:r>
      <w:r>
        <w:t xml:space="preserve">. </w:t>
      </w:r>
    </w:p>
    <w:p w:rsidR="00D925A8" w:rsidRDefault="007C149D" w:rsidP="004A3719">
      <w:pPr>
        <w:pStyle w:val="BodyText"/>
        <w:numPr>
          <w:ilvl w:val="0"/>
          <w:numId w:val="18"/>
        </w:numPr>
        <w:jc w:val="left"/>
      </w:pPr>
      <w:r>
        <w:t xml:space="preserve">SP2’s preferences for use in identifying </w:t>
      </w:r>
      <w:r w:rsidR="00221D0F">
        <w:t xml:space="preserve">destination ingress </w:t>
      </w:r>
      <w:r w:rsidR="00CE4C04">
        <w:t xml:space="preserve">SBCs </w:t>
      </w:r>
      <w:r w:rsidR="00221D0F">
        <w:t xml:space="preserve">into SP2’s network based upon </w:t>
      </w:r>
      <w:r w:rsidR="00CE4C04">
        <w:t xml:space="preserve">the </w:t>
      </w:r>
      <w:r w:rsidR="00AE27A2">
        <w:t>s</w:t>
      </w:r>
      <w:r w:rsidR="00621360">
        <w:t>tate, LATA</w:t>
      </w:r>
      <w:r w:rsidR="00AE27A2">
        <w:t xml:space="preserve"> </w:t>
      </w:r>
      <w:r w:rsidR="00621360">
        <w:t>or geographic area (e.g., North East)</w:t>
      </w:r>
      <w:r w:rsidR="00CE4C04">
        <w:t>.</w:t>
      </w:r>
    </w:p>
    <w:p w:rsidR="00D75F05" w:rsidRPr="00B52872" w:rsidRDefault="00AE27A2" w:rsidP="00D75F05">
      <w:pPr>
        <w:tabs>
          <w:tab w:val="left" w:pos="2160"/>
        </w:tabs>
        <w:ind w:right="29"/>
        <w:jc w:val="center"/>
        <w:rPr>
          <w:rFonts w:ascii="Calibri" w:hAnsi="Calibri" w:cs="Calibri"/>
          <w:b/>
          <w:szCs w:val="22"/>
        </w:rPr>
      </w:pPr>
      <w:r>
        <w:t xml:space="preserve">In summary, </w:t>
      </w:r>
      <w:r w:rsidR="00364A2F">
        <w:t xml:space="preserve">provisioning </w:t>
      </w:r>
      <w:r w:rsidR="007C149D">
        <w:t xml:space="preserve">of the routing service and SBC routing tables </w:t>
      </w:r>
      <w:r w:rsidR="00364A2F">
        <w:t xml:space="preserve">involves the use of </w:t>
      </w:r>
      <w:r>
        <w:t>Public Routing Data</w:t>
      </w:r>
      <w:r w:rsidR="007C149D">
        <w:t xml:space="preserve"> and the </w:t>
      </w:r>
      <w:r w:rsidR="00364A2F">
        <w:t>SP2 P</w:t>
      </w:r>
      <w:r>
        <w:t>rofile</w:t>
      </w:r>
      <w:r w:rsidR="007C149D">
        <w:t xml:space="preserve"> to determine if a called number is covered by an interconnection agreement, and which ingress </w:t>
      </w:r>
      <w:r w:rsidR="00364A2F">
        <w:t>SBC</w:t>
      </w:r>
      <w:r w:rsidR="007C149D">
        <w:t xml:space="preserve">s are to be used </w:t>
      </w:r>
      <w:r w:rsidR="004F7324">
        <w:t xml:space="preserve">based upon </w:t>
      </w:r>
      <w:r w:rsidR="007C149D">
        <w:t xml:space="preserve">preferences provided with the </w:t>
      </w:r>
      <w:r w:rsidR="004F7324">
        <w:t>information exchanged in the IP interconnection commercial agreement</w:t>
      </w:r>
      <w:r w:rsidR="00364A2F">
        <w:t>.</w:t>
      </w:r>
      <w:r w:rsidR="009236FF">
        <w:br w:type="page"/>
      </w:r>
      <w:r w:rsidR="00C85B47">
        <w:lastRenderedPageBreak/>
        <w:t xml:space="preserve"> </w:t>
      </w:r>
      <w:r w:rsidR="00D75F05">
        <w:rPr>
          <w:rFonts w:ascii="Calibri" w:hAnsi="Calibri" w:cs="Calibri"/>
          <w:b/>
          <w:szCs w:val="22"/>
        </w:rPr>
        <w:t>Evaluation Matrix</w:t>
      </w:r>
    </w:p>
    <w:p w:rsidR="00D75F05" w:rsidRDefault="00D75F05" w:rsidP="00D75F05">
      <w:pPr>
        <w:ind w:right="18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590"/>
        <w:gridCol w:w="4680"/>
      </w:tblGrid>
      <w:tr w:rsidR="00D75F05" w:rsidRPr="005E11F1" w:rsidTr="00CF496E">
        <w:tc>
          <w:tcPr>
            <w:tcW w:w="648" w:type="dxa"/>
            <w:shd w:val="clear" w:color="auto" w:fill="auto"/>
          </w:tcPr>
          <w:p w:rsidR="00D75F05" w:rsidRPr="005E11F1" w:rsidRDefault="00D75F05" w:rsidP="00CF496E">
            <w:pPr>
              <w:jc w:val="center"/>
              <w:rPr>
                <w:rFonts w:ascii="Calibri" w:hAnsi="Calibri" w:cs="Calibri"/>
                <w:b/>
                <w:bCs/>
                <w:color w:val="000000"/>
                <w:szCs w:val="22"/>
              </w:rPr>
            </w:pPr>
          </w:p>
        </w:tc>
        <w:tc>
          <w:tcPr>
            <w:tcW w:w="4590" w:type="dxa"/>
            <w:shd w:val="clear" w:color="auto" w:fill="auto"/>
            <w:vAlign w:val="bottom"/>
          </w:tcPr>
          <w:p w:rsidR="00D75F05" w:rsidRPr="005E11F1" w:rsidRDefault="00D75F05" w:rsidP="00CF496E">
            <w:pPr>
              <w:jc w:val="center"/>
              <w:rPr>
                <w:rFonts w:ascii="Calibri" w:hAnsi="Calibri" w:cs="Calibri"/>
                <w:b/>
                <w:bCs/>
                <w:color w:val="000000"/>
                <w:szCs w:val="22"/>
              </w:rPr>
            </w:pPr>
            <w:r w:rsidRPr="005E11F1">
              <w:rPr>
                <w:rFonts w:ascii="Calibri" w:hAnsi="Calibri" w:cs="Calibri"/>
                <w:b/>
                <w:bCs/>
                <w:color w:val="000000"/>
                <w:szCs w:val="22"/>
              </w:rPr>
              <w:t>Criteria</w:t>
            </w:r>
          </w:p>
        </w:tc>
        <w:tc>
          <w:tcPr>
            <w:tcW w:w="4680" w:type="dxa"/>
          </w:tcPr>
          <w:p w:rsidR="00D75F05" w:rsidRPr="00376D3C" w:rsidRDefault="00D75F05" w:rsidP="00CF496E">
            <w:pPr>
              <w:jc w:val="center"/>
              <w:rPr>
                <w:rFonts w:ascii="Calibri" w:hAnsi="Calibri" w:cs="Calibri"/>
                <w:b/>
                <w:bCs/>
                <w:color w:val="000000"/>
                <w:szCs w:val="22"/>
              </w:rPr>
            </w:pPr>
            <w:r w:rsidRPr="00376D3C">
              <w:rPr>
                <w:rFonts w:ascii="Calibri" w:hAnsi="Calibri" w:cs="Calibri"/>
                <w:b/>
                <w:bCs/>
                <w:color w:val="000000"/>
                <w:szCs w:val="22"/>
              </w:rPr>
              <w:t>Current Solution</w:t>
            </w:r>
          </w:p>
        </w:tc>
      </w:tr>
      <w:tr w:rsidR="00D75F05" w:rsidTr="00CF496E">
        <w:tc>
          <w:tcPr>
            <w:tcW w:w="648" w:type="dxa"/>
            <w:shd w:val="clear" w:color="auto" w:fill="auto"/>
          </w:tcPr>
          <w:p w:rsidR="00D75F05" w:rsidRDefault="00D75F05" w:rsidP="00CF496E">
            <w:pPr>
              <w:jc w:val="left"/>
            </w:pPr>
            <w:r>
              <w:t>1</w:t>
            </w:r>
          </w:p>
        </w:tc>
        <w:tc>
          <w:tcPr>
            <w:tcW w:w="4590" w:type="dxa"/>
            <w:shd w:val="clear" w:color="auto" w:fill="auto"/>
          </w:tcPr>
          <w:p w:rsidR="00D75F05" w:rsidRDefault="00D75F05" w:rsidP="00CF496E">
            <w:pPr>
              <w:jc w:val="left"/>
              <w:rPr>
                <w:color w:val="000000"/>
                <w:szCs w:val="24"/>
              </w:rPr>
            </w:pPr>
            <w:r>
              <w:rPr>
                <w:color w:val="000000"/>
              </w:rPr>
              <w:t xml:space="preserve">Specify interconnection information with finer granularity than the service provider level; specify different interconnection attributes for different groupings </w:t>
            </w:r>
            <w:proofErr w:type="gramStart"/>
            <w:r>
              <w:rPr>
                <w:color w:val="000000"/>
              </w:rPr>
              <w:t>of a service providers</w:t>
            </w:r>
            <w:proofErr w:type="gramEnd"/>
            <w:r>
              <w:rPr>
                <w:color w:val="000000"/>
              </w:rPr>
              <w:t xml:space="preserve"> numbers. </w:t>
            </w:r>
            <w:r>
              <w:t>F</w:t>
            </w:r>
            <w:r w:rsidRPr="000C4468">
              <w:t>or example</w:t>
            </w:r>
            <w:r>
              <w:t>,</w:t>
            </w:r>
            <w:r w:rsidRPr="000C4468">
              <w:t xml:space="preserve"> </w:t>
            </w:r>
            <w:r>
              <w:t>o</w:t>
            </w:r>
            <w:r w:rsidRPr="000C4468">
              <w:t>ne per NPA/XXX or LRN, One per TN</w:t>
            </w:r>
            <w:r>
              <w:t>, alternative routes,</w:t>
            </w:r>
            <w:r w:rsidRPr="000C4468">
              <w:t xml:space="preserve"> etc</w:t>
            </w:r>
            <w:r>
              <w:t>.</w:t>
            </w:r>
          </w:p>
        </w:tc>
        <w:tc>
          <w:tcPr>
            <w:tcW w:w="4680" w:type="dxa"/>
            <w:vAlign w:val="center"/>
          </w:tcPr>
          <w:p w:rsidR="00D75F05" w:rsidRPr="00376D3C" w:rsidRDefault="00D75F05" w:rsidP="00CF496E">
            <w:pPr>
              <w:jc w:val="center"/>
              <w:rPr>
                <w:color w:val="000000"/>
                <w:sz w:val="22"/>
                <w:szCs w:val="22"/>
              </w:rPr>
            </w:pPr>
            <w:r w:rsidRPr="00376D3C">
              <w:rPr>
                <w:color w:val="000000"/>
                <w:szCs w:val="22"/>
              </w:rPr>
              <w:t>The current solution can use groupings based on multiple group identifiers - OCN, LRN NPA-NXX and Switch CLLI.  Other grouping can be accommodated as they are developed. Each grouping can be associated with multiple egress and ingress SBCs for reliability.</w:t>
            </w:r>
          </w:p>
        </w:tc>
      </w:tr>
      <w:tr w:rsidR="00D75F05" w:rsidTr="00CF496E">
        <w:tc>
          <w:tcPr>
            <w:tcW w:w="648" w:type="dxa"/>
            <w:shd w:val="clear" w:color="auto" w:fill="auto"/>
          </w:tcPr>
          <w:p w:rsidR="00D75F05" w:rsidRDefault="00D75F05" w:rsidP="00CF496E">
            <w:pPr>
              <w:jc w:val="left"/>
            </w:pPr>
            <w:r>
              <w:t>2</w:t>
            </w:r>
          </w:p>
        </w:tc>
        <w:tc>
          <w:tcPr>
            <w:tcW w:w="4590" w:type="dxa"/>
            <w:shd w:val="clear" w:color="auto" w:fill="auto"/>
          </w:tcPr>
          <w:p w:rsidR="00D75F05" w:rsidRDefault="00D75F05" w:rsidP="00CF496E">
            <w:pPr>
              <w:jc w:val="left"/>
              <w:rPr>
                <w:color w:val="000000"/>
                <w:szCs w:val="24"/>
              </w:rPr>
            </w:pPr>
            <w:r>
              <w:rPr>
                <w:color w:val="000000"/>
              </w:rPr>
              <w:t xml:space="preserve">Provide a mechanism for aggregation of routing information above the individual number level.  </w:t>
            </w:r>
            <w:r>
              <w:t>F</w:t>
            </w:r>
            <w:r w:rsidRPr="000C4468">
              <w:t xml:space="preserve">or example, CO Code, </w:t>
            </w:r>
            <w:r>
              <w:t>NPA/</w:t>
            </w:r>
            <w:r w:rsidRPr="000C4468">
              <w:t>NXX-X level</w:t>
            </w:r>
          </w:p>
        </w:tc>
        <w:tc>
          <w:tcPr>
            <w:tcW w:w="4680" w:type="dxa"/>
            <w:vAlign w:val="center"/>
          </w:tcPr>
          <w:p w:rsidR="00D75F05" w:rsidRPr="00376D3C" w:rsidRDefault="00D75F05" w:rsidP="00CF496E">
            <w:pPr>
              <w:jc w:val="center"/>
              <w:rPr>
                <w:color w:val="000000"/>
                <w:sz w:val="22"/>
                <w:szCs w:val="22"/>
              </w:rPr>
            </w:pPr>
            <w:r w:rsidRPr="00376D3C">
              <w:rPr>
                <w:color w:val="000000"/>
                <w:szCs w:val="22"/>
              </w:rPr>
              <w:t>The current solution uses groupings based on multiple group identifiers - OCN, LRN NPA-NXX and Switch CLLI.  Other grouping can be accommodated as they are developed</w:t>
            </w:r>
          </w:p>
        </w:tc>
      </w:tr>
      <w:tr w:rsidR="00D75F05" w:rsidTr="00CF496E">
        <w:tc>
          <w:tcPr>
            <w:tcW w:w="648" w:type="dxa"/>
            <w:shd w:val="clear" w:color="auto" w:fill="auto"/>
          </w:tcPr>
          <w:p w:rsidR="00D75F05" w:rsidRDefault="00D75F05" w:rsidP="00CF496E">
            <w:pPr>
              <w:jc w:val="left"/>
            </w:pPr>
            <w:r>
              <w:t>3</w:t>
            </w:r>
          </w:p>
        </w:tc>
        <w:tc>
          <w:tcPr>
            <w:tcW w:w="4590" w:type="dxa"/>
            <w:shd w:val="clear" w:color="auto" w:fill="auto"/>
          </w:tcPr>
          <w:p w:rsidR="00D75F05" w:rsidRDefault="00D75F05" w:rsidP="00CF496E">
            <w:pPr>
              <w:jc w:val="left"/>
              <w:rPr>
                <w:color w:val="000000"/>
                <w:szCs w:val="24"/>
              </w:rPr>
            </w:pPr>
            <w:r>
              <w:rPr>
                <w:color w:val="000000"/>
              </w:rPr>
              <w:t>Provide a mechanism to get some insight into the service capabilities of destinations in advance of routing a call.</w:t>
            </w:r>
          </w:p>
        </w:tc>
        <w:tc>
          <w:tcPr>
            <w:tcW w:w="4680" w:type="dxa"/>
            <w:vAlign w:val="center"/>
          </w:tcPr>
          <w:p w:rsidR="00D75F05" w:rsidRPr="00376D3C" w:rsidRDefault="00D75F05" w:rsidP="00CF496E">
            <w:pPr>
              <w:jc w:val="center"/>
              <w:rPr>
                <w:color w:val="000000"/>
                <w:sz w:val="22"/>
                <w:szCs w:val="22"/>
              </w:rPr>
            </w:pPr>
            <w:r w:rsidRPr="00376D3C">
              <w:rPr>
                <w:color w:val="000000"/>
                <w:szCs w:val="22"/>
              </w:rPr>
              <w:t xml:space="preserve">Does </w:t>
            </w:r>
            <w:proofErr w:type="gramStart"/>
            <w:r w:rsidRPr="00376D3C">
              <w:rPr>
                <w:color w:val="000000"/>
                <w:szCs w:val="22"/>
              </w:rPr>
              <w:t>not  provide</w:t>
            </w:r>
            <w:proofErr w:type="gramEnd"/>
            <w:r w:rsidRPr="00376D3C">
              <w:rPr>
                <w:color w:val="000000"/>
                <w:szCs w:val="22"/>
              </w:rPr>
              <w:t xml:space="preserve"> insight into service capabilities, however mutual service capabilities specified in the ICA between service providers can be accommodated in the routing logic.</w:t>
            </w:r>
          </w:p>
        </w:tc>
      </w:tr>
      <w:tr w:rsidR="00D75F05" w:rsidTr="00CF496E">
        <w:tc>
          <w:tcPr>
            <w:tcW w:w="648" w:type="dxa"/>
            <w:shd w:val="clear" w:color="auto" w:fill="auto"/>
          </w:tcPr>
          <w:p w:rsidR="00D75F05" w:rsidRDefault="00D75F05" w:rsidP="00CF496E">
            <w:pPr>
              <w:jc w:val="left"/>
            </w:pPr>
            <w:r>
              <w:t>4</w:t>
            </w:r>
          </w:p>
        </w:tc>
        <w:tc>
          <w:tcPr>
            <w:tcW w:w="4590" w:type="dxa"/>
            <w:shd w:val="clear" w:color="auto" w:fill="auto"/>
          </w:tcPr>
          <w:p w:rsidR="00D75F05" w:rsidRDefault="00D75F05" w:rsidP="00CF496E">
            <w:pPr>
              <w:jc w:val="left"/>
              <w:rPr>
                <w:color w:val="000000"/>
                <w:szCs w:val="24"/>
              </w:rPr>
            </w:pPr>
            <w:r>
              <w:rPr>
                <w:color w:val="000000"/>
              </w:rPr>
              <w:t>Support the ability to provide GETS.</w:t>
            </w:r>
          </w:p>
        </w:tc>
        <w:tc>
          <w:tcPr>
            <w:tcW w:w="4680" w:type="dxa"/>
            <w:vAlign w:val="center"/>
          </w:tcPr>
          <w:p w:rsidR="00D75F05" w:rsidRPr="00376D3C" w:rsidRDefault="00D75F05" w:rsidP="00CF496E">
            <w:pPr>
              <w:jc w:val="center"/>
              <w:rPr>
                <w:color w:val="000000"/>
                <w:sz w:val="22"/>
                <w:szCs w:val="22"/>
              </w:rPr>
            </w:pPr>
            <w:r w:rsidRPr="00376D3C">
              <w:rPr>
                <w:color w:val="000000"/>
                <w:szCs w:val="24"/>
                <w:lang w:eastAsia="en-US"/>
              </w:rPr>
              <w:t>Utilizing and enhancing existing database systems (LERG/NPAC) to support IP interconnection information exchange would not impact the ability of service providers to provide GETS</w:t>
            </w:r>
          </w:p>
        </w:tc>
      </w:tr>
      <w:tr w:rsidR="00D75F05" w:rsidTr="00CF496E">
        <w:tc>
          <w:tcPr>
            <w:tcW w:w="648" w:type="dxa"/>
            <w:shd w:val="clear" w:color="auto" w:fill="auto"/>
          </w:tcPr>
          <w:p w:rsidR="00D75F05" w:rsidRDefault="00D75F05" w:rsidP="00CF496E">
            <w:pPr>
              <w:jc w:val="left"/>
            </w:pPr>
            <w:r>
              <w:t>5</w:t>
            </w:r>
          </w:p>
        </w:tc>
        <w:tc>
          <w:tcPr>
            <w:tcW w:w="4590" w:type="dxa"/>
            <w:shd w:val="clear" w:color="auto" w:fill="auto"/>
          </w:tcPr>
          <w:p w:rsidR="00D75F05" w:rsidRDefault="00D75F05" w:rsidP="001218DF">
            <w:pPr>
              <w:jc w:val="left"/>
              <w:rPr>
                <w:color w:val="000000"/>
                <w:szCs w:val="24"/>
              </w:rPr>
            </w:pPr>
            <w:r>
              <w:rPr>
                <w:color w:val="000000"/>
              </w:rPr>
              <w:t xml:space="preserve">A mechanism for terminating </w:t>
            </w:r>
            <w:r w:rsidR="001218DF">
              <w:rPr>
                <w:color w:val="000000"/>
              </w:rPr>
              <w:t>service providers</w:t>
            </w:r>
            <w:r>
              <w:rPr>
                <w:color w:val="000000"/>
              </w:rPr>
              <w:t xml:space="preserve"> to identify different interconnection points (for a given group of TNs) depending on the originating </w:t>
            </w:r>
            <w:r w:rsidR="001218DF">
              <w:rPr>
                <w:color w:val="000000"/>
              </w:rPr>
              <w:t>service provider</w:t>
            </w:r>
            <w:r>
              <w:rPr>
                <w:color w:val="000000"/>
              </w:rPr>
              <w:t>.</w:t>
            </w:r>
          </w:p>
        </w:tc>
        <w:tc>
          <w:tcPr>
            <w:tcW w:w="4680" w:type="dxa"/>
            <w:vAlign w:val="center"/>
          </w:tcPr>
          <w:p w:rsidR="00D75F05" w:rsidRPr="00376D3C" w:rsidRDefault="00D75F05" w:rsidP="00CF496E">
            <w:pPr>
              <w:jc w:val="center"/>
              <w:rPr>
                <w:color w:val="000000"/>
                <w:sz w:val="22"/>
                <w:szCs w:val="22"/>
              </w:rPr>
            </w:pPr>
            <w:r w:rsidRPr="00376D3C">
              <w:rPr>
                <w:color w:val="000000"/>
                <w:szCs w:val="22"/>
              </w:rPr>
              <w:t>Terminating service providers are able to specify different ingress points to be used by different originating providers for the same number</w:t>
            </w:r>
          </w:p>
        </w:tc>
      </w:tr>
      <w:tr w:rsidR="00D75F05" w:rsidTr="00CF496E">
        <w:tc>
          <w:tcPr>
            <w:tcW w:w="648" w:type="dxa"/>
            <w:shd w:val="clear" w:color="auto" w:fill="auto"/>
          </w:tcPr>
          <w:p w:rsidR="00D75F05" w:rsidRDefault="00D75F05" w:rsidP="00CF496E">
            <w:pPr>
              <w:jc w:val="left"/>
            </w:pPr>
            <w:r>
              <w:t>6</w:t>
            </w:r>
          </w:p>
        </w:tc>
        <w:tc>
          <w:tcPr>
            <w:tcW w:w="4590" w:type="dxa"/>
            <w:shd w:val="clear" w:color="auto" w:fill="auto"/>
          </w:tcPr>
          <w:p w:rsidR="00D75F05" w:rsidRDefault="00D75F05" w:rsidP="001218DF">
            <w:pPr>
              <w:jc w:val="left"/>
              <w:rPr>
                <w:color w:val="000000"/>
                <w:szCs w:val="24"/>
              </w:rPr>
            </w:pPr>
            <w:r>
              <w:rPr>
                <w:color w:val="000000"/>
              </w:rPr>
              <w:t xml:space="preserve">The service provider connecting to the terminating provider selects the interconnect point, consistent with preferences identified by the terminating </w:t>
            </w:r>
            <w:r w:rsidR="001218DF">
              <w:rPr>
                <w:color w:val="000000"/>
              </w:rPr>
              <w:t>service provider</w:t>
            </w:r>
            <w:r>
              <w:rPr>
                <w:color w:val="000000"/>
              </w:rPr>
              <w:t>.</w:t>
            </w:r>
          </w:p>
        </w:tc>
        <w:tc>
          <w:tcPr>
            <w:tcW w:w="4680" w:type="dxa"/>
            <w:vAlign w:val="center"/>
          </w:tcPr>
          <w:p w:rsidR="00D75F05" w:rsidRPr="00376D3C" w:rsidRDefault="00D75F05" w:rsidP="00CF496E">
            <w:pPr>
              <w:jc w:val="center"/>
              <w:rPr>
                <w:color w:val="000000"/>
                <w:sz w:val="22"/>
                <w:szCs w:val="22"/>
              </w:rPr>
            </w:pPr>
            <w:r w:rsidRPr="00376D3C">
              <w:rPr>
                <w:color w:val="000000"/>
                <w:szCs w:val="22"/>
              </w:rPr>
              <w:t xml:space="preserve">Interconnect points determined by interconnect agreement are used, e.g.: state, region, </w:t>
            </w:r>
            <w:proofErr w:type="spellStart"/>
            <w:r w:rsidRPr="00376D3C">
              <w:rPr>
                <w:color w:val="000000"/>
                <w:szCs w:val="22"/>
              </w:rPr>
              <w:t>lata</w:t>
            </w:r>
            <w:proofErr w:type="spellEnd"/>
            <w:r w:rsidRPr="00376D3C">
              <w:rPr>
                <w:color w:val="000000"/>
                <w:szCs w:val="22"/>
              </w:rPr>
              <w:t xml:space="preserve"> or service capability</w:t>
            </w:r>
          </w:p>
        </w:tc>
      </w:tr>
      <w:tr w:rsidR="00D75F05" w:rsidTr="00CF496E">
        <w:tc>
          <w:tcPr>
            <w:tcW w:w="648" w:type="dxa"/>
            <w:shd w:val="clear" w:color="auto" w:fill="auto"/>
          </w:tcPr>
          <w:p w:rsidR="00D75F05" w:rsidRDefault="00D75F05" w:rsidP="00CF496E">
            <w:pPr>
              <w:jc w:val="left"/>
            </w:pPr>
            <w:r>
              <w:t>7</w:t>
            </w:r>
          </w:p>
        </w:tc>
        <w:tc>
          <w:tcPr>
            <w:tcW w:w="4590" w:type="dxa"/>
            <w:shd w:val="clear" w:color="auto" w:fill="auto"/>
          </w:tcPr>
          <w:p w:rsidR="00D75F05" w:rsidRDefault="00D75F05" w:rsidP="001218DF">
            <w:pPr>
              <w:jc w:val="left"/>
              <w:rPr>
                <w:color w:val="000000"/>
                <w:szCs w:val="24"/>
              </w:rPr>
            </w:pPr>
            <w:r>
              <w:rPr>
                <w:color w:val="000000"/>
              </w:rPr>
              <w:t xml:space="preserve">The ability to exchange routing data between </w:t>
            </w:r>
            <w:r w:rsidR="001218DF">
              <w:rPr>
                <w:color w:val="000000"/>
              </w:rPr>
              <w:t>service providers</w:t>
            </w:r>
            <w:r>
              <w:rPr>
                <w:color w:val="000000"/>
              </w:rPr>
              <w:t xml:space="preserve"> in bulk.</w:t>
            </w:r>
          </w:p>
        </w:tc>
        <w:tc>
          <w:tcPr>
            <w:tcW w:w="4680" w:type="dxa"/>
            <w:vAlign w:val="center"/>
          </w:tcPr>
          <w:p w:rsidR="00D75F05" w:rsidRPr="00376D3C" w:rsidRDefault="00D75F05" w:rsidP="00CF496E">
            <w:pPr>
              <w:jc w:val="center"/>
              <w:rPr>
                <w:color w:val="000000"/>
                <w:sz w:val="22"/>
                <w:szCs w:val="22"/>
              </w:rPr>
            </w:pPr>
            <w:r w:rsidRPr="00376D3C">
              <w:rPr>
                <w:color w:val="000000"/>
                <w:szCs w:val="22"/>
              </w:rPr>
              <w:t xml:space="preserve">Service providers use existing processes and industry databases to identify groupings of data.  A small amount of information is exchanged between service providers to map </w:t>
            </w:r>
            <w:r w:rsidRPr="00376D3C">
              <w:rPr>
                <w:color w:val="000000"/>
                <w:szCs w:val="22"/>
              </w:rPr>
              <w:lastRenderedPageBreak/>
              <w:t>groups to interconnection points.</w:t>
            </w:r>
          </w:p>
        </w:tc>
      </w:tr>
      <w:tr w:rsidR="00D75F05" w:rsidTr="00CF496E">
        <w:tc>
          <w:tcPr>
            <w:tcW w:w="648" w:type="dxa"/>
            <w:shd w:val="clear" w:color="auto" w:fill="auto"/>
          </w:tcPr>
          <w:p w:rsidR="00D75F05" w:rsidRDefault="00D75F05" w:rsidP="00CF496E">
            <w:pPr>
              <w:jc w:val="left"/>
            </w:pPr>
            <w:r>
              <w:lastRenderedPageBreak/>
              <w:t>8</w:t>
            </w:r>
          </w:p>
        </w:tc>
        <w:tc>
          <w:tcPr>
            <w:tcW w:w="4590" w:type="dxa"/>
            <w:shd w:val="clear" w:color="auto" w:fill="auto"/>
          </w:tcPr>
          <w:p w:rsidR="00D75F05" w:rsidRDefault="00D75F05" w:rsidP="001218DF">
            <w:pPr>
              <w:jc w:val="left"/>
              <w:rPr>
                <w:color w:val="000000"/>
                <w:szCs w:val="24"/>
              </w:rPr>
            </w:pPr>
            <w:r>
              <w:rPr>
                <w:color w:val="000000"/>
              </w:rPr>
              <w:t xml:space="preserve">The ability to query a locally cached copy within each </w:t>
            </w:r>
            <w:r w:rsidR="001218DF">
              <w:rPr>
                <w:color w:val="000000"/>
              </w:rPr>
              <w:t>service provider</w:t>
            </w:r>
            <w:r>
              <w:rPr>
                <w:color w:val="000000"/>
              </w:rPr>
              <w:t xml:space="preserve">, rather than always having to query the terminating </w:t>
            </w:r>
            <w:r w:rsidR="001218DF">
              <w:rPr>
                <w:color w:val="000000"/>
              </w:rPr>
              <w:t>service provider</w:t>
            </w:r>
            <w:r>
              <w:rPr>
                <w:color w:val="000000"/>
              </w:rPr>
              <w:t>.</w:t>
            </w:r>
          </w:p>
        </w:tc>
        <w:tc>
          <w:tcPr>
            <w:tcW w:w="4680" w:type="dxa"/>
            <w:vAlign w:val="center"/>
          </w:tcPr>
          <w:p w:rsidR="00D75F05" w:rsidRPr="00376D3C" w:rsidRDefault="00D75F05" w:rsidP="00CF496E">
            <w:pPr>
              <w:jc w:val="center"/>
              <w:rPr>
                <w:color w:val="000000"/>
                <w:sz w:val="22"/>
                <w:szCs w:val="22"/>
              </w:rPr>
            </w:pPr>
            <w:r w:rsidRPr="00376D3C">
              <w:rPr>
                <w:color w:val="000000"/>
                <w:szCs w:val="22"/>
              </w:rPr>
              <w:t>All data accessible in real time in each service provider’s network.</w:t>
            </w:r>
          </w:p>
        </w:tc>
      </w:tr>
      <w:tr w:rsidR="00D75F05" w:rsidTr="00CF496E">
        <w:tc>
          <w:tcPr>
            <w:tcW w:w="648" w:type="dxa"/>
            <w:shd w:val="clear" w:color="auto" w:fill="auto"/>
          </w:tcPr>
          <w:p w:rsidR="00D75F05" w:rsidRDefault="00D75F05" w:rsidP="00CF496E">
            <w:pPr>
              <w:jc w:val="left"/>
            </w:pPr>
            <w:r>
              <w:t>9</w:t>
            </w:r>
          </w:p>
        </w:tc>
        <w:tc>
          <w:tcPr>
            <w:tcW w:w="4590" w:type="dxa"/>
            <w:shd w:val="clear" w:color="auto" w:fill="auto"/>
          </w:tcPr>
          <w:p w:rsidR="00D75F05" w:rsidRDefault="00D75F05" w:rsidP="00CF496E">
            <w:pPr>
              <w:jc w:val="left"/>
              <w:rPr>
                <w:color w:val="000000"/>
                <w:szCs w:val="24"/>
              </w:rPr>
            </w:pPr>
            <w:r>
              <w:rPr>
                <w:color w:val="000000"/>
              </w:rPr>
              <w:t>Level of dependence on "CO codes", even during the transition.</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 xml:space="preserve">CO Codes are used as a grouping mechanism </w:t>
            </w:r>
            <w:r w:rsidRPr="00376D3C">
              <w:rPr>
                <w:color w:val="000000"/>
                <w:sz w:val="22"/>
                <w:szCs w:val="22"/>
              </w:rPr>
              <w:br/>
              <w:t>Other groupings can be accommodated</w:t>
            </w:r>
          </w:p>
        </w:tc>
      </w:tr>
      <w:tr w:rsidR="00D75F05" w:rsidTr="00CF496E">
        <w:tc>
          <w:tcPr>
            <w:tcW w:w="648" w:type="dxa"/>
            <w:shd w:val="clear" w:color="auto" w:fill="auto"/>
          </w:tcPr>
          <w:p w:rsidR="00D75F05" w:rsidRDefault="00D75F05" w:rsidP="00CF496E">
            <w:pPr>
              <w:jc w:val="left"/>
            </w:pPr>
            <w:r>
              <w:t>10</w:t>
            </w:r>
          </w:p>
        </w:tc>
        <w:tc>
          <w:tcPr>
            <w:tcW w:w="4590" w:type="dxa"/>
            <w:shd w:val="clear" w:color="auto" w:fill="auto"/>
          </w:tcPr>
          <w:p w:rsidR="00D75F05" w:rsidRDefault="00D75F05" w:rsidP="00CF496E">
            <w:pPr>
              <w:jc w:val="left"/>
              <w:rPr>
                <w:color w:val="000000"/>
                <w:szCs w:val="24"/>
              </w:rPr>
            </w:pPr>
            <w:r>
              <w:rPr>
                <w:color w:val="000000"/>
              </w:rPr>
              <w:t>What   external bodies are required to modify existing arrangements, systems, etc.?</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None as is</w:t>
            </w:r>
            <w:r w:rsidRPr="00376D3C">
              <w:rPr>
                <w:color w:val="000000"/>
                <w:szCs w:val="22"/>
              </w:rPr>
              <w:t>.</w:t>
            </w:r>
            <w:r w:rsidRPr="00376D3C">
              <w:rPr>
                <w:color w:val="000000"/>
                <w:sz w:val="22"/>
                <w:szCs w:val="22"/>
              </w:rPr>
              <w:br/>
              <w:t>Enhancements would be dependent on existing industry processes to modify NPAC and LERG</w:t>
            </w:r>
          </w:p>
        </w:tc>
      </w:tr>
      <w:tr w:rsidR="00D75F05" w:rsidTr="00CF496E">
        <w:tc>
          <w:tcPr>
            <w:tcW w:w="648" w:type="dxa"/>
            <w:shd w:val="clear" w:color="auto" w:fill="auto"/>
          </w:tcPr>
          <w:p w:rsidR="00D75F05" w:rsidRDefault="00D75F05" w:rsidP="00CF496E">
            <w:pPr>
              <w:jc w:val="left"/>
            </w:pPr>
            <w:r>
              <w:t>11</w:t>
            </w:r>
          </w:p>
        </w:tc>
        <w:tc>
          <w:tcPr>
            <w:tcW w:w="4590" w:type="dxa"/>
            <w:shd w:val="clear" w:color="auto" w:fill="auto"/>
          </w:tcPr>
          <w:p w:rsidR="00D75F05" w:rsidRDefault="00D75F05" w:rsidP="00CF496E">
            <w:pPr>
              <w:jc w:val="left"/>
              <w:rPr>
                <w:color w:val="000000"/>
                <w:szCs w:val="24"/>
              </w:rPr>
            </w:pPr>
            <w:r>
              <w:rPr>
                <w:color w:val="000000"/>
              </w:rPr>
              <w:t>Any solution must have a clear path to move to a global solution.</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 xml:space="preserve">Can co-exist with a global solution.  </w:t>
            </w:r>
            <w:r w:rsidRPr="00376D3C">
              <w:rPr>
                <w:color w:val="000000"/>
                <w:sz w:val="22"/>
                <w:szCs w:val="22"/>
              </w:rPr>
              <w:br/>
              <w:t>Enhancements would need to be made</w:t>
            </w:r>
          </w:p>
        </w:tc>
      </w:tr>
      <w:tr w:rsidR="00D75F05" w:rsidTr="00CF496E">
        <w:tc>
          <w:tcPr>
            <w:tcW w:w="648" w:type="dxa"/>
            <w:shd w:val="clear" w:color="auto" w:fill="auto"/>
          </w:tcPr>
          <w:p w:rsidR="00D75F05" w:rsidRDefault="00D75F05" w:rsidP="00CF496E">
            <w:pPr>
              <w:jc w:val="left"/>
            </w:pPr>
            <w:r>
              <w:t>12</w:t>
            </w:r>
          </w:p>
        </w:tc>
        <w:tc>
          <w:tcPr>
            <w:tcW w:w="4590" w:type="dxa"/>
            <w:shd w:val="clear" w:color="auto" w:fill="auto"/>
          </w:tcPr>
          <w:p w:rsidR="00D75F05" w:rsidRDefault="00D75F05" w:rsidP="00CF496E">
            <w:pPr>
              <w:jc w:val="left"/>
              <w:rPr>
                <w:color w:val="000000"/>
                <w:szCs w:val="24"/>
              </w:rPr>
            </w:pPr>
            <w:r>
              <w:rPr>
                <w:color w:val="000000"/>
              </w:rPr>
              <w:t>The approach picked by this group must provide good solution for the end state all-IP network while maintaining backward compatibility (or interworking) during the transition.</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Can co-exist with an all-IP network</w:t>
            </w:r>
          </w:p>
        </w:tc>
      </w:tr>
      <w:tr w:rsidR="00D75F05" w:rsidTr="00CF496E">
        <w:tc>
          <w:tcPr>
            <w:tcW w:w="648" w:type="dxa"/>
            <w:shd w:val="clear" w:color="auto" w:fill="auto"/>
          </w:tcPr>
          <w:p w:rsidR="00D75F05" w:rsidRDefault="00D75F05" w:rsidP="00CF496E">
            <w:pPr>
              <w:jc w:val="left"/>
            </w:pPr>
            <w:r>
              <w:t>13</w:t>
            </w:r>
          </w:p>
        </w:tc>
        <w:tc>
          <w:tcPr>
            <w:tcW w:w="4590" w:type="dxa"/>
            <w:shd w:val="clear" w:color="auto" w:fill="auto"/>
          </w:tcPr>
          <w:p w:rsidR="00D75F05" w:rsidRDefault="00D75F05" w:rsidP="00CF496E">
            <w:pPr>
              <w:jc w:val="left"/>
              <w:rPr>
                <w:color w:val="000000"/>
                <w:szCs w:val="24"/>
              </w:rPr>
            </w:pPr>
            <w:r>
              <w:rPr>
                <w:color w:val="000000"/>
              </w:rPr>
              <w:t>Compatibility for solutions for non-E.164 Public User Identities.</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No – does not work for non E.164 identifiers</w:t>
            </w:r>
          </w:p>
        </w:tc>
      </w:tr>
      <w:tr w:rsidR="00D75F05" w:rsidTr="00CF496E">
        <w:tc>
          <w:tcPr>
            <w:tcW w:w="648" w:type="dxa"/>
            <w:shd w:val="clear" w:color="auto" w:fill="auto"/>
          </w:tcPr>
          <w:p w:rsidR="00D75F05" w:rsidRDefault="00D75F05" w:rsidP="00CF496E">
            <w:pPr>
              <w:jc w:val="left"/>
            </w:pPr>
            <w:r>
              <w:t>14</w:t>
            </w:r>
          </w:p>
        </w:tc>
        <w:tc>
          <w:tcPr>
            <w:tcW w:w="4590" w:type="dxa"/>
            <w:shd w:val="clear" w:color="auto" w:fill="auto"/>
          </w:tcPr>
          <w:p w:rsidR="00D75F05" w:rsidRDefault="00D75F05" w:rsidP="00CF496E">
            <w:pPr>
              <w:jc w:val="left"/>
              <w:rPr>
                <w:color w:val="000000"/>
                <w:szCs w:val="24"/>
              </w:rPr>
            </w:pPr>
            <w:r>
              <w:rPr>
                <w:color w:val="000000"/>
              </w:rPr>
              <w:t>What updates need to be done throughout the network for each option, and what is the estimated complexity of that? Impact on:</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w:t>
            </w:r>
          </w:p>
        </w:tc>
      </w:tr>
      <w:tr w:rsidR="00D75F05" w:rsidTr="00CF496E">
        <w:tc>
          <w:tcPr>
            <w:tcW w:w="648" w:type="dxa"/>
            <w:shd w:val="clear" w:color="auto" w:fill="auto"/>
          </w:tcPr>
          <w:p w:rsidR="00D75F05" w:rsidRDefault="00D75F05" w:rsidP="00CF496E">
            <w:pPr>
              <w:jc w:val="left"/>
            </w:pPr>
            <w:r>
              <w:t>15</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Time to implement - common infrastructure</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In use today</w:t>
            </w:r>
          </w:p>
        </w:tc>
      </w:tr>
      <w:tr w:rsidR="00D75F05" w:rsidTr="00CF496E">
        <w:tc>
          <w:tcPr>
            <w:tcW w:w="648" w:type="dxa"/>
            <w:shd w:val="clear" w:color="auto" w:fill="auto"/>
          </w:tcPr>
          <w:p w:rsidR="00D75F05" w:rsidRDefault="00D75F05" w:rsidP="00CF496E">
            <w:pPr>
              <w:jc w:val="left"/>
            </w:pPr>
            <w:r>
              <w:t>16</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Existing industry systems</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In use today</w:t>
            </w:r>
          </w:p>
        </w:tc>
      </w:tr>
      <w:tr w:rsidR="00D75F05" w:rsidTr="00CF496E">
        <w:tc>
          <w:tcPr>
            <w:tcW w:w="648" w:type="dxa"/>
            <w:shd w:val="clear" w:color="auto" w:fill="auto"/>
          </w:tcPr>
          <w:p w:rsidR="00D75F05" w:rsidRDefault="00D75F05" w:rsidP="00CF496E">
            <w:pPr>
              <w:jc w:val="left"/>
            </w:pPr>
            <w:r>
              <w:t>17</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Existing service provider systems</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In use today</w:t>
            </w:r>
          </w:p>
        </w:tc>
      </w:tr>
      <w:tr w:rsidR="00D75F05" w:rsidTr="00CF496E">
        <w:tc>
          <w:tcPr>
            <w:tcW w:w="648" w:type="dxa"/>
            <w:shd w:val="clear" w:color="auto" w:fill="auto"/>
          </w:tcPr>
          <w:p w:rsidR="00D75F05" w:rsidRDefault="00D75F05" w:rsidP="00CF496E">
            <w:pPr>
              <w:jc w:val="left"/>
            </w:pPr>
            <w:r>
              <w:t>18</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The need for additional industry systems and interfaces</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None</w:t>
            </w:r>
            <w:r w:rsidRPr="00376D3C">
              <w:rPr>
                <w:color w:val="000000"/>
                <w:szCs w:val="22"/>
              </w:rPr>
              <w:t xml:space="preserve"> required</w:t>
            </w:r>
          </w:p>
        </w:tc>
      </w:tr>
      <w:tr w:rsidR="00D75F05" w:rsidTr="00CF496E">
        <w:tc>
          <w:tcPr>
            <w:tcW w:w="648" w:type="dxa"/>
            <w:shd w:val="clear" w:color="auto" w:fill="auto"/>
          </w:tcPr>
          <w:p w:rsidR="00D75F05" w:rsidRDefault="00D75F05" w:rsidP="00CF496E">
            <w:pPr>
              <w:jc w:val="left"/>
            </w:pPr>
            <w:r>
              <w:t>19</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Call setup time</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No Impact - local queries minimize call setup time</w:t>
            </w:r>
          </w:p>
        </w:tc>
      </w:tr>
      <w:tr w:rsidR="00D75F05" w:rsidTr="00CF496E">
        <w:tc>
          <w:tcPr>
            <w:tcW w:w="648" w:type="dxa"/>
            <w:shd w:val="clear" w:color="auto" w:fill="auto"/>
          </w:tcPr>
          <w:p w:rsidR="00D75F05" w:rsidRDefault="00D75F05" w:rsidP="00CF496E">
            <w:pPr>
              <w:jc w:val="left"/>
            </w:pPr>
            <w:r>
              <w:t>20</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Signaling traffic</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Minimized - no impact</w:t>
            </w:r>
          </w:p>
        </w:tc>
      </w:tr>
      <w:tr w:rsidR="00D75F05" w:rsidTr="00CF496E">
        <w:tc>
          <w:tcPr>
            <w:tcW w:w="648" w:type="dxa"/>
            <w:shd w:val="clear" w:color="auto" w:fill="auto"/>
          </w:tcPr>
          <w:p w:rsidR="00D75F05" w:rsidRDefault="00D75F05" w:rsidP="00CF496E">
            <w:pPr>
              <w:jc w:val="left"/>
            </w:pPr>
            <w:r>
              <w:t>21</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Increase of vulnerability of security</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Minimized - no impact</w:t>
            </w:r>
          </w:p>
        </w:tc>
      </w:tr>
      <w:tr w:rsidR="00D75F05" w:rsidTr="00CF496E">
        <w:tc>
          <w:tcPr>
            <w:tcW w:w="648" w:type="dxa"/>
            <w:shd w:val="clear" w:color="auto" w:fill="auto"/>
          </w:tcPr>
          <w:p w:rsidR="00D75F05" w:rsidRDefault="00D75F05" w:rsidP="00CF496E">
            <w:pPr>
              <w:jc w:val="left"/>
            </w:pPr>
            <w:r>
              <w:t>22</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Network elements</w:t>
            </w:r>
          </w:p>
        </w:tc>
        <w:tc>
          <w:tcPr>
            <w:tcW w:w="4680" w:type="dxa"/>
            <w:vAlign w:val="center"/>
          </w:tcPr>
          <w:p w:rsidR="00D75F05" w:rsidRPr="00376D3C" w:rsidRDefault="00D75F05" w:rsidP="00CF496E">
            <w:pPr>
              <w:jc w:val="center"/>
              <w:rPr>
                <w:color w:val="000000"/>
                <w:sz w:val="22"/>
                <w:szCs w:val="22"/>
              </w:rPr>
            </w:pPr>
            <w:r w:rsidRPr="00376D3C">
              <w:rPr>
                <w:color w:val="000000"/>
                <w:szCs w:val="22"/>
              </w:rPr>
              <w:t>No impact</w:t>
            </w:r>
          </w:p>
        </w:tc>
      </w:tr>
      <w:tr w:rsidR="00D75F05" w:rsidTr="00CF496E">
        <w:tc>
          <w:tcPr>
            <w:tcW w:w="648" w:type="dxa"/>
            <w:shd w:val="clear" w:color="auto" w:fill="auto"/>
          </w:tcPr>
          <w:p w:rsidR="00D75F05" w:rsidRDefault="00D75F05" w:rsidP="00CF496E">
            <w:pPr>
              <w:jc w:val="left"/>
            </w:pPr>
            <w:r>
              <w:lastRenderedPageBreak/>
              <w:t>23</w:t>
            </w:r>
          </w:p>
        </w:tc>
        <w:tc>
          <w:tcPr>
            <w:tcW w:w="4590" w:type="dxa"/>
            <w:shd w:val="clear" w:color="auto" w:fill="auto"/>
          </w:tcPr>
          <w:p w:rsidR="00D75F05" w:rsidRDefault="00D75F05" w:rsidP="00CF496E">
            <w:pPr>
              <w:jc w:val="left"/>
              <w:rPr>
                <w:color w:val="000000"/>
                <w:szCs w:val="24"/>
              </w:rPr>
            </w:pPr>
            <w:r>
              <w:rPr>
                <w:color w:val="000000"/>
              </w:rPr>
              <w:t>Reliability and scalability.</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Experience to date indicates this is sufficiently scalable and highly reliable</w:t>
            </w:r>
          </w:p>
        </w:tc>
      </w:tr>
      <w:tr w:rsidR="00D75F05" w:rsidTr="00CF496E">
        <w:tc>
          <w:tcPr>
            <w:tcW w:w="648" w:type="dxa"/>
            <w:shd w:val="clear" w:color="auto" w:fill="auto"/>
          </w:tcPr>
          <w:p w:rsidR="00D75F05" w:rsidRDefault="00D75F05" w:rsidP="00CF496E">
            <w:pPr>
              <w:jc w:val="left"/>
            </w:pPr>
            <w:r>
              <w:t>24</w:t>
            </w:r>
          </w:p>
        </w:tc>
        <w:tc>
          <w:tcPr>
            <w:tcW w:w="4590" w:type="dxa"/>
            <w:shd w:val="clear" w:color="auto" w:fill="auto"/>
          </w:tcPr>
          <w:p w:rsidR="00D75F05" w:rsidRDefault="00D75F05" w:rsidP="00CF496E">
            <w:pPr>
              <w:jc w:val="left"/>
              <w:rPr>
                <w:color w:val="000000"/>
                <w:szCs w:val="24"/>
              </w:rPr>
            </w:pPr>
            <w:r>
              <w:rPr>
                <w:color w:val="000000"/>
              </w:rPr>
              <w:t>Support for secure tunnels and open Internet routing.</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Yes / Yes</w:t>
            </w:r>
          </w:p>
        </w:tc>
      </w:tr>
      <w:tr w:rsidR="00D75F05" w:rsidTr="00CF496E">
        <w:tc>
          <w:tcPr>
            <w:tcW w:w="648" w:type="dxa"/>
            <w:shd w:val="clear" w:color="auto" w:fill="auto"/>
          </w:tcPr>
          <w:p w:rsidR="00D75F05" w:rsidRDefault="00D75F05" w:rsidP="00CF496E">
            <w:pPr>
              <w:jc w:val="left"/>
            </w:pPr>
            <w:r>
              <w:t>25</w:t>
            </w:r>
          </w:p>
        </w:tc>
        <w:tc>
          <w:tcPr>
            <w:tcW w:w="4590" w:type="dxa"/>
            <w:shd w:val="clear" w:color="auto" w:fill="auto"/>
          </w:tcPr>
          <w:p w:rsidR="00D75F05" w:rsidRDefault="00D75F05" w:rsidP="00CF496E">
            <w:pPr>
              <w:jc w:val="left"/>
              <w:rPr>
                <w:color w:val="000000"/>
                <w:szCs w:val="24"/>
              </w:rPr>
            </w:pPr>
            <w:r>
              <w:rPr>
                <w:color w:val="000000"/>
              </w:rPr>
              <w:t>Solution must be synchronized with number portability.</w:t>
            </w:r>
          </w:p>
        </w:tc>
        <w:tc>
          <w:tcPr>
            <w:tcW w:w="4680" w:type="dxa"/>
            <w:vAlign w:val="center"/>
          </w:tcPr>
          <w:p w:rsidR="00D75F05" w:rsidRPr="00376D3C" w:rsidRDefault="00D75F05" w:rsidP="00CF496E">
            <w:pPr>
              <w:jc w:val="center"/>
              <w:rPr>
                <w:color w:val="000000"/>
                <w:sz w:val="22"/>
                <w:szCs w:val="22"/>
              </w:rPr>
            </w:pPr>
            <w:r w:rsidRPr="00376D3C">
              <w:rPr>
                <w:color w:val="000000"/>
                <w:szCs w:val="22"/>
              </w:rPr>
              <w:t>Solution uses the NPAC for to identify SP for ported numbers</w:t>
            </w:r>
          </w:p>
        </w:tc>
      </w:tr>
      <w:tr w:rsidR="00D75F05" w:rsidTr="00CF496E">
        <w:tc>
          <w:tcPr>
            <w:tcW w:w="648" w:type="dxa"/>
            <w:shd w:val="clear" w:color="auto" w:fill="auto"/>
          </w:tcPr>
          <w:p w:rsidR="00D75F05" w:rsidRDefault="00D75F05" w:rsidP="00CF496E">
            <w:pPr>
              <w:jc w:val="left"/>
            </w:pPr>
            <w:r>
              <w:t>26</w:t>
            </w:r>
          </w:p>
        </w:tc>
        <w:tc>
          <w:tcPr>
            <w:tcW w:w="4590" w:type="dxa"/>
            <w:shd w:val="clear" w:color="auto" w:fill="auto"/>
          </w:tcPr>
          <w:p w:rsidR="00D75F05" w:rsidRDefault="00D75F05" w:rsidP="00CF496E">
            <w:pPr>
              <w:jc w:val="left"/>
              <w:rPr>
                <w:color w:val="000000"/>
                <w:szCs w:val="24"/>
              </w:rPr>
            </w:pPr>
            <w:r>
              <w:rPr>
                <w:color w:val="000000"/>
              </w:rPr>
              <w:t>Solution cannot be tied to historical geography of numbering plan.</w:t>
            </w:r>
          </w:p>
        </w:tc>
        <w:tc>
          <w:tcPr>
            <w:tcW w:w="4680" w:type="dxa"/>
            <w:vAlign w:val="center"/>
          </w:tcPr>
          <w:p w:rsidR="00D75F05" w:rsidRPr="00376D3C" w:rsidRDefault="00D75F05" w:rsidP="00CF496E">
            <w:pPr>
              <w:jc w:val="center"/>
              <w:rPr>
                <w:color w:val="000000"/>
                <w:sz w:val="22"/>
                <w:szCs w:val="22"/>
              </w:rPr>
            </w:pPr>
            <w:r w:rsidRPr="00376D3C">
              <w:rPr>
                <w:color w:val="000000"/>
                <w:sz w:val="22"/>
                <w:szCs w:val="22"/>
              </w:rPr>
              <w:t>Accommodates geography but is not dependent on geography</w:t>
            </w:r>
          </w:p>
        </w:tc>
      </w:tr>
      <w:tr w:rsidR="00D75F05" w:rsidTr="00CF496E">
        <w:tc>
          <w:tcPr>
            <w:tcW w:w="648" w:type="dxa"/>
            <w:shd w:val="clear" w:color="auto" w:fill="auto"/>
          </w:tcPr>
          <w:p w:rsidR="00D75F05" w:rsidRDefault="00D75F05" w:rsidP="00CF496E">
            <w:pPr>
              <w:jc w:val="left"/>
            </w:pPr>
            <w:r>
              <w:t>27</w:t>
            </w:r>
          </w:p>
        </w:tc>
        <w:tc>
          <w:tcPr>
            <w:tcW w:w="4590" w:type="dxa"/>
            <w:shd w:val="clear" w:color="auto" w:fill="auto"/>
          </w:tcPr>
          <w:p w:rsidR="00D75F05" w:rsidRPr="0067117B" w:rsidRDefault="00D75F05" w:rsidP="00CF496E">
            <w:pPr>
              <w:jc w:val="left"/>
              <w:rPr>
                <w:color w:val="000000"/>
                <w:szCs w:val="24"/>
              </w:rPr>
            </w:pPr>
            <w:r w:rsidRPr="000C4468">
              <w:t xml:space="preserve">Registration </w:t>
            </w:r>
            <w:r>
              <w:t xml:space="preserve">in common industry databases </w:t>
            </w:r>
            <w:r w:rsidRPr="000C4468">
              <w:t>should only be made by the current service provider of record or an authorized agent for the service provider of record</w:t>
            </w:r>
          </w:p>
        </w:tc>
        <w:tc>
          <w:tcPr>
            <w:tcW w:w="4680" w:type="dxa"/>
          </w:tcPr>
          <w:p w:rsidR="00D75F05" w:rsidRPr="00376D3C" w:rsidRDefault="00D75F05" w:rsidP="00CF496E">
            <w:pPr>
              <w:jc w:val="left"/>
            </w:pPr>
            <w:r w:rsidRPr="00376D3C">
              <w:t>This is done today</w:t>
            </w:r>
          </w:p>
        </w:tc>
      </w:tr>
      <w:tr w:rsidR="00D75F05" w:rsidTr="00CF496E">
        <w:tc>
          <w:tcPr>
            <w:tcW w:w="648" w:type="dxa"/>
            <w:shd w:val="clear" w:color="auto" w:fill="auto"/>
          </w:tcPr>
          <w:p w:rsidR="00D75F05" w:rsidRDefault="00D75F05" w:rsidP="00CF496E">
            <w:pPr>
              <w:jc w:val="left"/>
            </w:pPr>
            <w:r>
              <w:t>28</w:t>
            </w:r>
          </w:p>
        </w:tc>
        <w:tc>
          <w:tcPr>
            <w:tcW w:w="4590" w:type="dxa"/>
            <w:shd w:val="clear" w:color="auto" w:fill="auto"/>
          </w:tcPr>
          <w:p w:rsidR="00D75F05" w:rsidRPr="000C4468" w:rsidRDefault="00D75F05" w:rsidP="00CF496E">
            <w:pPr>
              <w:jc w:val="left"/>
            </w:pPr>
            <w:r w:rsidRPr="000C4468">
              <w:t>There is a need for service providers to exchange information for both primary and alternate routes.</w:t>
            </w:r>
          </w:p>
        </w:tc>
        <w:tc>
          <w:tcPr>
            <w:tcW w:w="4680" w:type="dxa"/>
          </w:tcPr>
          <w:p w:rsidR="00D75F05" w:rsidRPr="00376D3C" w:rsidRDefault="00D75F05" w:rsidP="00CF496E">
            <w:pPr>
              <w:jc w:val="left"/>
            </w:pPr>
            <w:r w:rsidRPr="00376D3C">
              <w:t>Multiple ingress SBCs can be specified if required by ICA</w:t>
            </w:r>
          </w:p>
        </w:tc>
      </w:tr>
      <w:tr w:rsidR="00D75F05" w:rsidTr="00CF496E">
        <w:tc>
          <w:tcPr>
            <w:tcW w:w="648" w:type="dxa"/>
            <w:shd w:val="clear" w:color="auto" w:fill="auto"/>
          </w:tcPr>
          <w:p w:rsidR="00D75F05" w:rsidRDefault="00D75F05" w:rsidP="00CF496E">
            <w:pPr>
              <w:jc w:val="left"/>
            </w:pPr>
            <w:r>
              <w:t>29</w:t>
            </w:r>
          </w:p>
        </w:tc>
        <w:tc>
          <w:tcPr>
            <w:tcW w:w="4590" w:type="dxa"/>
            <w:shd w:val="clear" w:color="auto" w:fill="auto"/>
          </w:tcPr>
          <w:p w:rsidR="00D75F05" w:rsidRPr="000C4468" w:rsidRDefault="00D75F05" w:rsidP="00CF496E">
            <w:pPr>
              <w:adjustRightInd w:val="0"/>
              <w:jc w:val="left"/>
            </w:pPr>
            <w:r>
              <w:t>A solution cannot require additional significant investment to legacy systems.</w:t>
            </w:r>
          </w:p>
        </w:tc>
        <w:tc>
          <w:tcPr>
            <w:tcW w:w="4680" w:type="dxa"/>
          </w:tcPr>
          <w:p w:rsidR="00D75F05" w:rsidRPr="00376D3C" w:rsidRDefault="00D75F05" w:rsidP="00CF496E">
            <w:pPr>
              <w:jc w:val="left"/>
            </w:pPr>
            <w:r w:rsidRPr="00376D3C">
              <w:t>Solution is in use today by multiple service providers</w:t>
            </w:r>
          </w:p>
        </w:tc>
      </w:tr>
    </w:tbl>
    <w:p w:rsidR="00D75F05" w:rsidRDefault="00D75F05" w:rsidP="00D75F05">
      <w:pPr>
        <w:ind w:right="180"/>
        <w:jc w:val="left"/>
      </w:pPr>
    </w:p>
    <w:p w:rsidR="0088428C" w:rsidRDefault="0088428C" w:rsidP="00C85B47">
      <w:pPr>
        <w:pStyle w:val="Heading1"/>
        <w:jc w:val="left"/>
      </w:pPr>
    </w:p>
    <w:sectPr w:rsidR="0088428C" w:rsidSect="00BA0CEE">
      <w:headerReference w:type="default" r:id="rId10"/>
      <w:headerReference w:type="first" r:id="rId11"/>
      <w:pgSz w:w="12240" w:h="15840" w:code="1"/>
      <w:pgMar w:top="1440" w:right="1440" w:bottom="1440" w:left="1440" w:header="720" w:footer="720"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32" w:rsidRDefault="00881C32">
      <w:r>
        <w:separator/>
      </w:r>
    </w:p>
  </w:endnote>
  <w:endnote w:type="continuationSeparator" w:id="0">
    <w:p w:rsidR="00881C32" w:rsidRDefault="00881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32" w:rsidRDefault="00881C32">
      <w:r>
        <w:separator/>
      </w:r>
    </w:p>
  </w:footnote>
  <w:footnote w:type="continuationSeparator" w:id="0">
    <w:p w:rsidR="00881C32" w:rsidRDefault="00881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93" w:rsidRDefault="00B70993">
    <w:pPr>
      <w:pStyle w:val="Header"/>
      <w:spacing w:after="0"/>
      <w:rPr>
        <w:rStyle w:val="PageNumber"/>
        <w:sz w:val="20"/>
      </w:rPr>
    </w:pPr>
  </w:p>
  <w:p w:rsidR="00B70993" w:rsidRDefault="00B70993">
    <w:pPr>
      <w:pStyle w:val="Header"/>
      <w:spacing w:after="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F4" w:rsidRDefault="004A1C11" w:rsidP="00BA0E6D">
    <w:pPr>
      <w:pStyle w:val="Header"/>
      <w:jc w:val="right"/>
    </w:pPr>
    <w:r>
      <w:rPr>
        <w:rFonts w:ascii="Arial" w:hAnsi="Arial" w:cs="Arial"/>
        <w:lang w:val="en-CA"/>
      </w:rPr>
      <w:t>IPNNI-2014-045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D6E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A46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E846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3C83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FA7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D8B7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426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A091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C1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60D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E1A45"/>
    <w:multiLevelType w:val="hybridMultilevel"/>
    <w:tmpl w:val="EC24B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931B7E"/>
    <w:multiLevelType w:val="hybridMultilevel"/>
    <w:tmpl w:val="BBF4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13">
    <w:nsid w:val="497D0528"/>
    <w:multiLevelType w:val="hybridMultilevel"/>
    <w:tmpl w:val="F28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0200"/>
    <w:multiLevelType w:val="hybridMultilevel"/>
    <w:tmpl w:val="CB04D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8A297B"/>
    <w:multiLevelType w:val="hybridMultilevel"/>
    <w:tmpl w:val="194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D3238"/>
    <w:multiLevelType w:val="hybridMultilevel"/>
    <w:tmpl w:val="437E8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2B7B45"/>
    <w:multiLevelType w:val="hybridMultilevel"/>
    <w:tmpl w:val="BE1A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6"/>
  </w:num>
  <w:num w:numId="14">
    <w:abstractNumId w:val="13"/>
  </w:num>
  <w:num w:numId="15">
    <w:abstractNumId w:val="15"/>
  </w:num>
  <w:num w:numId="16">
    <w:abstractNumId w:val="11"/>
  </w:num>
  <w:num w:numId="17">
    <w:abstractNumId w:val="10"/>
  </w:num>
  <w:num w:numId="18">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docVars>
    <w:docVar w:name="zzmpLTFontsClean" w:val="True"/>
    <w:docVar w:name="zzmpnSession" w:val="0.8099787"/>
  </w:docVars>
  <w:rsids>
    <w:rsidRoot w:val="00F452C0"/>
    <w:rsid w:val="0001050E"/>
    <w:rsid w:val="000117CE"/>
    <w:rsid w:val="000245E2"/>
    <w:rsid w:val="00025F83"/>
    <w:rsid w:val="000370D0"/>
    <w:rsid w:val="00037220"/>
    <w:rsid w:val="00047E5D"/>
    <w:rsid w:val="0005579C"/>
    <w:rsid w:val="00080149"/>
    <w:rsid w:val="0009728C"/>
    <w:rsid w:val="000A05B3"/>
    <w:rsid w:val="000D5571"/>
    <w:rsid w:val="000D7A36"/>
    <w:rsid w:val="000E4158"/>
    <w:rsid w:val="000E5CFE"/>
    <w:rsid w:val="000F4CB0"/>
    <w:rsid w:val="001028D9"/>
    <w:rsid w:val="001218DF"/>
    <w:rsid w:val="00123A8C"/>
    <w:rsid w:val="00127102"/>
    <w:rsid w:val="001374D1"/>
    <w:rsid w:val="0014119C"/>
    <w:rsid w:val="00142D69"/>
    <w:rsid w:val="00156174"/>
    <w:rsid w:val="00167674"/>
    <w:rsid w:val="00174B57"/>
    <w:rsid w:val="001825F0"/>
    <w:rsid w:val="001840B4"/>
    <w:rsid w:val="00193AA5"/>
    <w:rsid w:val="001A102A"/>
    <w:rsid w:val="001A6F80"/>
    <w:rsid w:val="001B3DEC"/>
    <w:rsid w:val="001D0D1A"/>
    <w:rsid w:val="001D52CE"/>
    <w:rsid w:val="001E1CD4"/>
    <w:rsid w:val="001E25C9"/>
    <w:rsid w:val="001E79C9"/>
    <w:rsid w:val="001F5CFB"/>
    <w:rsid w:val="001F70F6"/>
    <w:rsid w:val="002024D9"/>
    <w:rsid w:val="00210F89"/>
    <w:rsid w:val="0021117A"/>
    <w:rsid w:val="00220097"/>
    <w:rsid w:val="00221D0F"/>
    <w:rsid w:val="00222670"/>
    <w:rsid w:val="002231D9"/>
    <w:rsid w:val="0023234B"/>
    <w:rsid w:val="002405CE"/>
    <w:rsid w:val="00240A51"/>
    <w:rsid w:val="00253E29"/>
    <w:rsid w:val="00254240"/>
    <w:rsid w:val="00255001"/>
    <w:rsid w:val="00270C9F"/>
    <w:rsid w:val="00273283"/>
    <w:rsid w:val="002749B6"/>
    <w:rsid w:val="0029326B"/>
    <w:rsid w:val="002B0B7B"/>
    <w:rsid w:val="002B0E35"/>
    <w:rsid w:val="002B63F1"/>
    <w:rsid w:val="002C1C22"/>
    <w:rsid w:val="002D64D6"/>
    <w:rsid w:val="002D68A3"/>
    <w:rsid w:val="002E382D"/>
    <w:rsid w:val="002F08A3"/>
    <w:rsid w:val="003116C7"/>
    <w:rsid w:val="00312481"/>
    <w:rsid w:val="00315AFF"/>
    <w:rsid w:val="00321F82"/>
    <w:rsid w:val="00326386"/>
    <w:rsid w:val="00330627"/>
    <w:rsid w:val="00335053"/>
    <w:rsid w:val="00336C1E"/>
    <w:rsid w:val="00343108"/>
    <w:rsid w:val="00345228"/>
    <w:rsid w:val="00345AF1"/>
    <w:rsid w:val="00364A2F"/>
    <w:rsid w:val="00367983"/>
    <w:rsid w:val="00370E4B"/>
    <w:rsid w:val="00374E94"/>
    <w:rsid w:val="00376D3C"/>
    <w:rsid w:val="00381CEC"/>
    <w:rsid w:val="003A4410"/>
    <w:rsid w:val="003A5EE2"/>
    <w:rsid w:val="003A60AE"/>
    <w:rsid w:val="003B292C"/>
    <w:rsid w:val="003C074B"/>
    <w:rsid w:val="003C1B26"/>
    <w:rsid w:val="003C6D8B"/>
    <w:rsid w:val="003F39CD"/>
    <w:rsid w:val="0040057A"/>
    <w:rsid w:val="004016E1"/>
    <w:rsid w:val="004079EA"/>
    <w:rsid w:val="00407FAA"/>
    <w:rsid w:val="00407FE4"/>
    <w:rsid w:val="00414505"/>
    <w:rsid w:val="00416D9E"/>
    <w:rsid w:val="00433BB6"/>
    <w:rsid w:val="00465B2E"/>
    <w:rsid w:val="004A1C11"/>
    <w:rsid w:val="004A3719"/>
    <w:rsid w:val="004B613A"/>
    <w:rsid w:val="004C1CE5"/>
    <w:rsid w:val="004C4DCA"/>
    <w:rsid w:val="004C6903"/>
    <w:rsid w:val="004D7525"/>
    <w:rsid w:val="004E20AF"/>
    <w:rsid w:val="004E27DC"/>
    <w:rsid w:val="004E3795"/>
    <w:rsid w:val="004E65E6"/>
    <w:rsid w:val="004F0E19"/>
    <w:rsid w:val="004F270D"/>
    <w:rsid w:val="004F506C"/>
    <w:rsid w:val="004F7324"/>
    <w:rsid w:val="00503616"/>
    <w:rsid w:val="005109A6"/>
    <w:rsid w:val="00525950"/>
    <w:rsid w:val="005342D5"/>
    <w:rsid w:val="00536029"/>
    <w:rsid w:val="0054409A"/>
    <w:rsid w:val="0055218E"/>
    <w:rsid w:val="00552EFA"/>
    <w:rsid w:val="005573C3"/>
    <w:rsid w:val="0056056C"/>
    <w:rsid w:val="00571A21"/>
    <w:rsid w:val="00590EBD"/>
    <w:rsid w:val="00591E7D"/>
    <w:rsid w:val="00595A5F"/>
    <w:rsid w:val="005A27F4"/>
    <w:rsid w:val="005A3D96"/>
    <w:rsid w:val="005A4710"/>
    <w:rsid w:val="005B0245"/>
    <w:rsid w:val="005B1156"/>
    <w:rsid w:val="005B3F17"/>
    <w:rsid w:val="005B615C"/>
    <w:rsid w:val="005C7C26"/>
    <w:rsid w:val="005D1B9F"/>
    <w:rsid w:val="005E35F3"/>
    <w:rsid w:val="005E3B89"/>
    <w:rsid w:val="005F0B35"/>
    <w:rsid w:val="0060188F"/>
    <w:rsid w:val="0062046D"/>
    <w:rsid w:val="0062052B"/>
    <w:rsid w:val="00621360"/>
    <w:rsid w:val="00621793"/>
    <w:rsid w:val="00623190"/>
    <w:rsid w:val="00632A47"/>
    <w:rsid w:val="00645E74"/>
    <w:rsid w:val="0064712D"/>
    <w:rsid w:val="00656F0B"/>
    <w:rsid w:val="00664B68"/>
    <w:rsid w:val="0067117B"/>
    <w:rsid w:val="00672B08"/>
    <w:rsid w:val="006737D1"/>
    <w:rsid w:val="006845E7"/>
    <w:rsid w:val="00687204"/>
    <w:rsid w:val="00687EAF"/>
    <w:rsid w:val="0069194D"/>
    <w:rsid w:val="0069523C"/>
    <w:rsid w:val="006B52CC"/>
    <w:rsid w:val="006C47B2"/>
    <w:rsid w:val="007043E8"/>
    <w:rsid w:val="00704AC8"/>
    <w:rsid w:val="007102C4"/>
    <w:rsid w:val="00714F5B"/>
    <w:rsid w:val="007202C3"/>
    <w:rsid w:val="00722EDD"/>
    <w:rsid w:val="00734466"/>
    <w:rsid w:val="00736FE5"/>
    <w:rsid w:val="007415C2"/>
    <w:rsid w:val="00751E9B"/>
    <w:rsid w:val="0076053D"/>
    <w:rsid w:val="00763E03"/>
    <w:rsid w:val="007759DC"/>
    <w:rsid w:val="0078161B"/>
    <w:rsid w:val="007A75CA"/>
    <w:rsid w:val="007B00A0"/>
    <w:rsid w:val="007B2F96"/>
    <w:rsid w:val="007C149D"/>
    <w:rsid w:val="007C1802"/>
    <w:rsid w:val="007C2D8F"/>
    <w:rsid w:val="007C7A85"/>
    <w:rsid w:val="007D7639"/>
    <w:rsid w:val="007F5C96"/>
    <w:rsid w:val="0080298D"/>
    <w:rsid w:val="00806B6E"/>
    <w:rsid w:val="008146F5"/>
    <w:rsid w:val="008453B0"/>
    <w:rsid w:val="00854E38"/>
    <w:rsid w:val="00861BA7"/>
    <w:rsid w:val="0086404D"/>
    <w:rsid w:val="0087122C"/>
    <w:rsid w:val="0087437B"/>
    <w:rsid w:val="0088118C"/>
    <w:rsid w:val="00881C32"/>
    <w:rsid w:val="0088428C"/>
    <w:rsid w:val="00885080"/>
    <w:rsid w:val="008A0036"/>
    <w:rsid w:val="008A4DBA"/>
    <w:rsid w:val="008B1F2A"/>
    <w:rsid w:val="008B4CC4"/>
    <w:rsid w:val="008B662E"/>
    <w:rsid w:val="008C366E"/>
    <w:rsid w:val="008D7347"/>
    <w:rsid w:val="008F2C7D"/>
    <w:rsid w:val="008F6F07"/>
    <w:rsid w:val="0090234E"/>
    <w:rsid w:val="009236FF"/>
    <w:rsid w:val="00932B74"/>
    <w:rsid w:val="009356F3"/>
    <w:rsid w:val="009358D5"/>
    <w:rsid w:val="00941DB7"/>
    <w:rsid w:val="00944926"/>
    <w:rsid w:val="009453C6"/>
    <w:rsid w:val="0095714F"/>
    <w:rsid w:val="00962EEE"/>
    <w:rsid w:val="009737E5"/>
    <w:rsid w:val="009743F9"/>
    <w:rsid w:val="00982E24"/>
    <w:rsid w:val="00990A6D"/>
    <w:rsid w:val="00993790"/>
    <w:rsid w:val="009B1EC1"/>
    <w:rsid w:val="009E1224"/>
    <w:rsid w:val="009F5E62"/>
    <w:rsid w:val="00A00F68"/>
    <w:rsid w:val="00A03FC0"/>
    <w:rsid w:val="00A05F7D"/>
    <w:rsid w:val="00A22F7C"/>
    <w:rsid w:val="00A3115E"/>
    <w:rsid w:val="00A31FEE"/>
    <w:rsid w:val="00A35FE9"/>
    <w:rsid w:val="00A41368"/>
    <w:rsid w:val="00A418AE"/>
    <w:rsid w:val="00A5322B"/>
    <w:rsid w:val="00A566B6"/>
    <w:rsid w:val="00A56729"/>
    <w:rsid w:val="00A827DF"/>
    <w:rsid w:val="00A82AE9"/>
    <w:rsid w:val="00A87459"/>
    <w:rsid w:val="00A93706"/>
    <w:rsid w:val="00AA56BF"/>
    <w:rsid w:val="00AB1164"/>
    <w:rsid w:val="00AC1823"/>
    <w:rsid w:val="00AE27A2"/>
    <w:rsid w:val="00AE3B80"/>
    <w:rsid w:val="00AF0EB3"/>
    <w:rsid w:val="00AF2C8B"/>
    <w:rsid w:val="00B05639"/>
    <w:rsid w:val="00B07B73"/>
    <w:rsid w:val="00B13CDE"/>
    <w:rsid w:val="00B176F6"/>
    <w:rsid w:val="00B2629E"/>
    <w:rsid w:val="00B32A74"/>
    <w:rsid w:val="00B43F7C"/>
    <w:rsid w:val="00B66AAA"/>
    <w:rsid w:val="00B70993"/>
    <w:rsid w:val="00B765B3"/>
    <w:rsid w:val="00B77ED4"/>
    <w:rsid w:val="00B811BA"/>
    <w:rsid w:val="00B850C8"/>
    <w:rsid w:val="00B94A8A"/>
    <w:rsid w:val="00B9526B"/>
    <w:rsid w:val="00B9691C"/>
    <w:rsid w:val="00BA0CEE"/>
    <w:rsid w:val="00BA0E6D"/>
    <w:rsid w:val="00BA583C"/>
    <w:rsid w:val="00BD361D"/>
    <w:rsid w:val="00BE3DBC"/>
    <w:rsid w:val="00BF5DAF"/>
    <w:rsid w:val="00BF7171"/>
    <w:rsid w:val="00C0006F"/>
    <w:rsid w:val="00C0489C"/>
    <w:rsid w:val="00C11FEC"/>
    <w:rsid w:val="00C17A20"/>
    <w:rsid w:val="00C22588"/>
    <w:rsid w:val="00C37C81"/>
    <w:rsid w:val="00C454CA"/>
    <w:rsid w:val="00C56314"/>
    <w:rsid w:val="00C6132A"/>
    <w:rsid w:val="00C75AFF"/>
    <w:rsid w:val="00C75E48"/>
    <w:rsid w:val="00C778C6"/>
    <w:rsid w:val="00C80A72"/>
    <w:rsid w:val="00C84DC8"/>
    <w:rsid w:val="00C85B47"/>
    <w:rsid w:val="00C85C3B"/>
    <w:rsid w:val="00C95B16"/>
    <w:rsid w:val="00CB21DA"/>
    <w:rsid w:val="00CB249F"/>
    <w:rsid w:val="00CB3C56"/>
    <w:rsid w:val="00CB57C1"/>
    <w:rsid w:val="00CC57EC"/>
    <w:rsid w:val="00CD3BCE"/>
    <w:rsid w:val="00CD535B"/>
    <w:rsid w:val="00CD5A0F"/>
    <w:rsid w:val="00CE4C04"/>
    <w:rsid w:val="00D02A53"/>
    <w:rsid w:val="00D06DCC"/>
    <w:rsid w:val="00D231DE"/>
    <w:rsid w:val="00D30397"/>
    <w:rsid w:val="00D36E05"/>
    <w:rsid w:val="00D44A61"/>
    <w:rsid w:val="00D459B5"/>
    <w:rsid w:val="00D46A96"/>
    <w:rsid w:val="00D57058"/>
    <w:rsid w:val="00D75F05"/>
    <w:rsid w:val="00D80BF6"/>
    <w:rsid w:val="00D925A8"/>
    <w:rsid w:val="00D950C9"/>
    <w:rsid w:val="00D967CD"/>
    <w:rsid w:val="00DA2912"/>
    <w:rsid w:val="00DA7D9F"/>
    <w:rsid w:val="00DB25AB"/>
    <w:rsid w:val="00DB6251"/>
    <w:rsid w:val="00DB70A5"/>
    <w:rsid w:val="00DB7DF7"/>
    <w:rsid w:val="00DC0985"/>
    <w:rsid w:val="00DC692F"/>
    <w:rsid w:val="00DD0B45"/>
    <w:rsid w:val="00DD4883"/>
    <w:rsid w:val="00DE37F5"/>
    <w:rsid w:val="00DE7899"/>
    <w:rsid w:val="00DF1BD0"/>
    <w:rsid w:val="00E10ABE"/>
    <w:rsid w:val="00E11136"/>
    <w:rsid w:val="00E3217D"/>
    <w:rsid w:val="00E36B90"/>
    <w:rsid w:val="00E37811"/>
    <w:rsid w:val="00E4128F"/>
    <w:rsid w:val="00E526CD"/>
    <w:rsid w:val="00E60554"/>
    <w:rsid w:val="00E6181B"/>
    <w:rsid w:val="00E62D4E"/>
    <w:rsid w:val="00E657A5"/>
    <w:rsid w:val="00E8245F"/>
    <w:rsid w:val="00E97306"/>
    <w:rsid w:val="00EA0EB7"/>
    <w:rsid w:val="00EA35CF"/>
    <w:rsid w:val="00EA500C"/>
    <w:rsid w:val="00EB1065"/>
    <w:rsid w:val="00EC20D8"/>
    <w:rsid w:val="00EC2357"/>
    <w:rsid w:val="00EE58F1"/>
    <w:rsid w:val="00EE70EB"/>
    <w:rsid w:val="00EF132B"/>
    <w:rsid w:val="00EF3877"/>
    <w:rsid w:val="00EF55C3"/>
    <w:rsid w:val="00EF6EE9"/>
    <w:rsid w:val="00F25C5D"/>
    <w:rsid w:val="00F33B38"/>
    <w:rsid w:val="00F43000"/>
    <w:rsid w:val="00F452C0"/>
    <w:rsid w:val="00F64A76"/>
    <w:rsid w:val="00F65CDE"/>
    <w:rsid w:val="00F74BB1"/>
    <w:rsid w:val="00F80579"/>
    <w:rsid w:val="00FD5A0D"/>
    <w:rsid w:val="00FD6C76"/>
    <w:rsid w:val="00FE21F6"/>
    <w:rsid w:val="00FE7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CEE"/>
    <w:pPr>
      <w:spacing w:after="240"/>
      <w:jc w:val="both"/>
    </w:pPr>
    <w:rPr>
      <w:sz w:val="24"/>
      <w:lang w:eastAsia="ja-JP"/>
    </w:rPr>
  </w:style>
  <w:style w:type="paragraph" w:styleId="Heading1">
    <w:name w:val="heading 1"/>
    <w:basedOn w:val="Normal"/>
    <w:next w:val="BodyText"/>
    <w:qFormat/>
    <w:rsid w:val="00BA0CEE"/>
    <w:pPr>
      <w:keepNext/>
      <w:outlineLvl w:val="0"/>
    </w:pPr>
    <w:rPr>
      <w:b/>
    </w:rPr>
  </w:style>
  <w:style w:type="paragraph" w:styleId="Heading2">
    <w:name w:val="heading 2"/>
    <w:basedOn w:val="Normal"/>
    <w:next w:val="BodyText"/>
    <w:qFormat/>
    <w:rsid w:val="00BA0CEE"/>
    <w:pPr>
      <w:keepNext/>
      <w:outlineLvl w:val="1"/>
    </w:pPr>
    <w:rPr>
      <w:b/>
      <w:i/>
    </w:rPr>
  </w:style>
  <w:style w:type="paragraph" w:styleId="Heading3">
    <w:name w:val="heading 3"/>
    <w:basedOn w:val="Normal"/>
    <w:next w:val="BodyText"/>
    <w:qFormat/>
    <w:rsid w:val="00BA0CEE"/>
    <w:pPr>
      <w:keepNext/>
      <w:outlineLvl w:val="2"/>
    </w:pPr>
  </w:style>
  <w:style w:type="paragraph" w:styleId="Heading4">
    <w:name w:val="heading 4"/>
    <w:basedOn w:val="Normal"/>
    <w:next w:val="BodyText"/>
    <w:qFormat/>
    <w:rsid w:val="00BA0CEE"/>
    <w:pPr>
      <w:keepNext/>
      <w:outlineLvl w:val="3"/>
    </w:pPr>
    <w:rPr>
      <w:b/>
    </w:rPr>
  </w:style>
  <w:style w:type="paragraph" w:styleId="Heading5">
    <w:name w:val="heading 5"/>
    <w:basedOn w:val="Normal"/>
    <w:next w:val="BodyText"/>
    <w:qFormat/>
    <w:rsid w:val="00BA0CEE"/>
    <w:pPr>
      <w:outlineLvl w:val="4"/>
    </w:pPr>
  </w:style>
  <w:style w:type="paragraph" w:styleId="Heading6">
    <w:name w:val="heading 6"/>
    <w:basedOn w:val="Normal"/>
    <w:next w:val="BodyText"/>
    <w:qFormat/>
    <w:rsid w:val="00BA0CEE"/>
    <w:pPr>
      <w:outlineLvl w:val="5"/>
    </w:pPr>
    <w:rPr>
      <w:i/>
    </w:rPr>
  </w:style>
  <w:style w:type="paragraph" w:styleId="Heading7">
    <w:name w:val="heading 7"/>
    <w:basedOn w:val="Normal"/>
    <w:next w:val="BodyText"/>
    <w:qFormat/>
    <w:rsid w:val="00BA0CEE"/>
    <w:pPr>
      <w:outlineLvl w:val="6"/>
    </w:pPr>
  </w:style>
  <w:style w:type="paragraph" w:styleId="Heading8">
    <w:name w:val="heading 8"/>
    <w:basedOn w:val="Normal"/>
    <w:next w:val="BodyText"/>
    <w:qFormat/>
    <w:rsid w:val="00BA0CEE"/>
    <w:pPr>
      <w:outlineLvl w:val="7"/>
    </w:pPr>
    <w:rPr>
      <w:i/>
    </w:rPr>
  </w:style>
  <w:style w:type="paragraph" w:styleId="Heading9">
    <w:name w:val="heading 9"/>
    <w:basedOn w:val="Normal"/>
    <w:next w:val="BodyText"/>
    <w:qFormat/>
    <w:rsid w:val="00BA0CEE"/>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0CEE"/>
    <w:pPr>
      <w:widowControl w:val="0"/>
      <w:ind w:firstLine="720"/>
    </w:pPr>
  </w:style>
  <w:style w:type="paragraph" w:styleId="Header">
    <w:name w:val="header"/>
    <w:basedOn w:val="Normal"/>
    <w:rsid w:val="00BA0CEE"/>
    <w:pPr>
      <w:tabs>
        <w:tab w:val="center" w:pos="4320"/>
        <w:tab w:val="right" w:pos="9360"/>
      </w:tabs>
    </w:pPr>
  </w:style>
  <w:style w:type="paragraph" w:styleId="Footer">
    <w:name w:val="footer"/>
    <w:basedOn w:val="Normal"/>
    <w:rsid w:val="00BA0CEE"/>
    <w:pPr>
      <w:tabs>
        <w:tab w:val="center" w:pos="4320"/>
        <w:tab w:val="right" w:pos="9360"/>
      </w:tabs>
      <w:spacing w:line="240" w:lineRule="atLeast"/>
    </w:pPr>
    <w:rPr>
      <w:sz w:val="20"/>
    </w:rPr>
  </w:style>
  <w:style w:type="character" w:styleId="PageNumber">
    <w:name w:val="page number"/>
    <w:rsid w:val="00BA0CEE"/>
    <w:rPr>
      <w:sz w:val="24"/>
    </w:rPr>
  </w:style>
  <w:style w:type="paragraph" w:styleId="BodyTextIndent">
    <w:name w:val="Body Text Indent"/>
    <w:basedOn w:val="BodyText"/>
    <w:next w:val="BodyText"/>
    <w:rsid w:val="00BA0CEE"/>
    <w:pPr>
      <w:ind w:left="720" w:firstLine="0"/>
    </w:pPr>
  </w:style>
  <w:style w:type="paragraph" w:styleId="Quote">
    <w:name w:val="Quote"/>
    <w:basedOn w:val="Normal"/>
    <w:next w:val="BodyTextContinued"/>
    <w:qFormat/>
    <w:rsid w:val="00BA0CEE"/>
    <w:pPr>
      <w:ind w:left="1440" w:right="1440"/>
    </w:pPr>
  </w:style>
  <w:style w:type="paragraph" w:customStyle="1" w:styleId="BodyTextContinued">
    <w:name w:val="Body Text Continued"/>
    <w:basedOn w:val="BodyText"/>
    <w:next w:val="BodyText"/>
    <w:rsid w:val="00BA0CEE"/>
    <w:pPr>
      <w:ind w:firstLine="0"/>
    </w:pPr>
  </w:style>
  <w:style w:type="paragraph" w:customStyle="1" w:styleId="Centered">
    <w:name w:val="Centered"/>
    <w:basedOn w:val="Normal"/>
    <w:next w:val="BodyText"/>
    <w:rsid w:val="00BA0CEE"/>
    <w:pPr>
      <w:spacing w:line="240" w:lineRule="exact"/>
      <w:jc w:val="center"/>
    </w:pPr>
  </w:style>
  <w:style w:type="character" w:styleId="FootnoteReference">
    <w:name w:val="footnote reference"/>
    <w:rsid w:val="00BA0CEE"/>
    <w:rPr>
      <w:vertAlign w:val="superscript"/>
    </w:rPr>
  </w:style>
  <w:style w:type="paragraph" w:styleId="FootnoteText">
    <w:name w:val="footnote text"/>
    <w:basedOn w:val="Normal"/>
    <w:link w:val="FootnoteTextChar"/>
    <w:rsid w:val="00BA0CEE"/>
    <w:rPr>
      <w:sz w:val="20"/>
    </w:rPr>
  </w:style>
  <w:style w:type="paragraph" w:customStyle="1" w:styleId="HeaderNumbers">
    <w:name w:val="HeaderNumbers"/>
    <w:basedOn w:val="Normal"/>
    <w:rsid w:val="00BA0CEE"/>
    <w:pPr>
      <w:spacing w:before="720" w:line="480" w:lineRule="exact"/>
      <w:ind w:right="144"/>
      <w:jc w:val="right"/>
    </w:pPr>
  </w:style>
  <w:style w:type="paragraph" w:customStyle="1" w:styleId="LetterClosing">
    <w:name w:val="LetterClosing"/>
    <w:basedOn w:val="Normal"/>
    <w:next w:val="Normal"/>
    <w:rsid w:val="00BA0CEE"/>
  </w:style>
  <w:style w:type="paragraph" w:styleId="MacroText">
    <w:name w:val="macro"/>
    <w:semiHidden/>
    <w:rsid w:val="00BA0CEE"/>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rsid w:val="00BA0CEE"/>
    <w:pPr>
      <w:widowControl w:val="0"/>
      <w:spacing w:line="240" w:lineRule="exact"/>
      <w:ind w:left="720" w:right="720"/>
    </w:pPr>
  </w:style>
  <w:style w:type="paragraph" w:customStyle="1" w:styleId="PleadingSignature">
    <w:name w:val="Pleading Signature"/>
    <w:basedOn w:val="Normal"/>
    <w:rsid w:val="00BA0CEE"/>
    <w:pPr>
      <w:keepNext/>
      <w:keepLines/>
      <w:widowControl w:val="0"/>
      <w:tabs>
        <w:tab w:val="left" w:pos="5040"/>
        <w:tab w:val="right" w:pos="9360"/>
      </w:tabs>
      <w:spacing w:line="240" w:lineRule="exact"/>
      <w:ind w:left="4680"/>
    </w:pPr>
  </w:style>
  <w:style w:type="paragraph" w:styleId="EnvelopeAddress">
    <w:name w:val="envelope address"/>
    <w:basedOn w:val="Normal"/>
    <w:rsid w:val="00BA0CEE"/>
    <w:pPr>
      <w:framePr w:w="5760" w:h="2160" w:hRule="exact" w:wrap="around" w:vAnchor="page" w:hAnchor="page" w:x="6481" w:y="3068"/>
    </w:pPr>
  </w:style>
  <w:style w:type="paragraph" w:customStyle="1" w:styleId="LetterDate">
    <w:name w:val="Letter Date"/>
    <w:basedOn w:val="Normal"/>
    <w:next w:val="BodyText"/>
    <w:rsid w:val="00BA0CEE"/>
  </w:style>
  <w:style w:type="paragraph" w:customStyle="1" w:styleId="LeftHeading">
    <w:name w:val="Left Heading"/>
    <w:basedOn w:val="Normal"/>
    <w:next w:val="Normal"/>
    <w:rsid w:val="00BA0CEE"/>
    <w:rPr>
      <w:b/>
    </w:rPr>
  </w:style>
  <w:style w:type="paragraph" w:styleId="TableofAuthorities">
    <w:name w:val="table of authorities"/>
    <w:basedOn w:val="Normal"/>
    <w:next w:val="Normal"/>
    <w:semiHidden/>
    <w:rsid w:val="00BA0C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BA0CEE"/>
    <w:pPr>
      <w:keepNext/>
      <w:widowControl w:val="0"/>
      <w:spacing w:before="120" w:after="120" w:line="240" w:lineRule="exact"/>
      <w:jc w:val="center"/>
    </w:pPr>
    <w:rPr>
      <w:b/>
      <w:caps/>
    </w:rPr>
  </w:style>
  <w:style w:type="paragraph" w:styleId="PlainText">
    <w:name w:val="Plain Text"/>
    <w:basedOn w:val="Normal"/>
    <w:rsid w:val="00BA0CEE"/>
    <w:rPr>
      <w:sz w:val="20"/>
    </w:rPr>
  </w:style>
  <w:style w:type="character" w:customStyle="1" w:styleId="ParagraphNumber">
    <w:name w:val="ParagraphNumber"/>
    <w:basedOn w:val="DefaultParagraphFont"/>
    <w:rsid w:val="00BA0CEE"/>
  </w:style>
  <w:style w:type="paragraph" w:styleId="TOC1">
    <w:name w:val="toc 1"/>
    <w:basedOn w:val="Normal"/>
    <w:next w:val="TOC2"/>
    <w:autoRedefine/>
    <w:semiHidden/>
    <w:rsid w:val="00BA0CEE"/>
    <w:pPr>
      <w:keepLines/>
      <w:tabs>
        <w:tab w:val="right" w:leader="dot" w:pos="9288"/>
      </w:tabs>
      <w:ind w:left="720" w:right="720" w:hanging="720"/>
    </w:pPr>
  </w:style>
  <w:style w:type="paragraph" w:styleId="TOC2">
    <w:name w:val="toc 2"/>
    <w:basedOn w:val="Normal"/>
    <w:next w:val="TOC3"/>
    <w:autoRedefine/>
    <w:semiHidden/>
    <w:rsid w:val="00BA0CEE"/>
    <w:pPr>
      <w:keepLines/>
      <w:tabs>
        <w:tab w:val="right" w:leader="dot" w:pos="9288"/>
      </w:tabs>
      <w:ind w:left="1440" w:right="720" w:hanging="720"/>
    </w:pPr>
  </w:style>
  <w:style w:type="paragraph" w:styleId="TOC3">
    <w:name w:val="toc 3"/>
    <w:basedOn w:val="Normal"/>
    <w:next w:val="TOC4"/>
    <w:autoRedefine/>
    <w:semiHidden/>
    <w:rsid w:val="00BA0CEE"/>
    <w:pPr>
      <w:keepLines/>
      <w:tabs>
        <w:tab w:val="right" w:leader="dot" w:pos="9288"/>
      </w:tabs>
      <w:ind w:left="2160" w:right="720" w:hanging="720"/>
    </w:pPr>
  </w:style>
  <w:style w:type="paragraph" w:styleId="TOC4">
    <w:name w:val="toc 4"/>
    <w:basedOn w:val="Normal"/>
    <w:next w:val="TOC5"/>
    <w:autoRedefine/>
    <w:semiHidden/>
    <w:rsid w:val="00BA0CEE"/>
    <w:pPr>
      <w:keepLines/>
      <w:tabs>
        <w:tab w:val="right" w:leader="dot" w:pos="9288"/>
      </w:tabs>
      <w:ind w:left="2880" w:right="720" w:hanging="720"/>
    </w:pPr>
  </w:style>
  <w:style w:type="paragraph" w:styleId="TOC5">
    <w:name w:val="toc 5"/>
    <w:basedOn w:val="Normal"/>
    <w:next w:val="TOC6"/>
    <w:autoRedefine/>
    <w:semiHidden/>
    <w:rsid w:val="00BA0CEE"/>
    <w:pPr>
      <w:keepLines/>
      <w:tabs>
        <w:tab w:val="right" w:leader="dot" w:pos="9288"/>
      </w:tabs>
      <w:ind w:left="3600" w:right="720" w:hanging="720"/>
    </w:pPr>
  </w:style>
  <w:style w:type="paragraph" w:styleId="TOC6">
    <w:name w:val="toc 6"/>
    <w:basedOn w:val="Normal"/>
    <w:next w:val="TOC7"/>
    <w:autoRedefine/>
    <w:semiHidden/>
    <w:rsid w:val="00BA0CEE"/>
    <w:pPr>
      <w:keepLines/>
      <w:tabs>
        <w:tab w:val="right" w:leader="dot" w:pos="9288"/>
      </w:tabs>
      <w:ind w:left="4320" w:right="720" w:hanging="720"/>
    </w:pPr>
  </w:style>
  <w:style w:type="paragraph" w:styleId="TOC7">
    <w:name w:val="toc 7"/>
    <w:basedOn w:val="Normal"/>
    <w:next w:val="TOC8"/>
    <w:autoRedefine/>
    <w:semiHidden/>
    <w:rsid w:val="00BA0CEE"/>
    <w:pPr>
      <w:keepLines/>
      <w:tabs>
        <w:tab w:val="right" w:leader="dot" w:pos="9288"/>
      </w:tabs>
      <w:ind w:left="5040" w:right="720" w:hanging="720"/>
    </w:pPr>
  </w:style>
  <w:style w:type="paragraph" w:styleId="TOC8">
    <w:name w:val="toc 8"/>
    <w:basedOn w:val="Normal"/>
    <w:next w:val="TOC9"/>
    <w:autoRedefine/>
    <w:semiHidden/>
    <w:rsid w:val="00BA0CEE"/>
    <w:pPr>
      <w:keepLines/>
      <w:tabs>
        <w:tab w:val="right" w:leader="dot" w:pos="9288"/>
      </w:tabs>
      <w:ind w:left="5760" w:right="720" w:hanging="720"/>
    </w:pPr>
  </w:style>
  <w:style w:type="paragraph" w:styleId="TOC9">
    <w:name w:val="toc 9"/>
    <w:basedOn w:val="Normal"/>
    <w:autoRedefine/>
    <w:semiHidden/>
    <w:rsid w:val="00BA0CEE"/>
    <w:pPr>
      <w:keepLines/>
      <w:tabs>
        <w:tab w:val="right" w:leader="dot" w:pos="9288"/>
      </w:tabs>
      <w:ind w:left="6480" w:right="720" w:hanging="720"/>
    </w:pPr>
  </w:style>
  <w:style w:type="paragraph" w:customStyle="1" w:styleId="SDP">
    <w:name w:val="SDP"/>
    <w:basedOn w:val="Normal"/>
    <w:next w:val="Normal"/>
    <w:rsid w:val="00BA0CEE"/>
    <w:pPr>
      <w:spacing w:before="240"/>
    </w:pPr>
    <w:rPr>
      <w:b/>
      <w:caps/>
    </w:rPr>
  </w:style>
  <w:style w:type="paragraph" w:customStyle="1" w:styleId="LHFirmName">
    <w:name w:val="LH Firm Name"/>
    <w:basedOn w:val="Normal"/>
    <w:rsid w:val="00BA0CEE"/>
    <w:pPr>
      <w:spacing w:line="120" w:lineRule="exact"/>
    </w:pPr>
  </w:style>
  <w:style w:type="paragraph" w:customStyle="1" w:styleId="DeliveryPhrase">
    <w:name w:val="Delivery Phrase"/>
    <w:basedOn w:val="Normal"/>
    <w:next w:val="Normal"/>
    <w:rsid w:val="00BA0CEE"/>
    <w:pPr>
      <w:spacing w:before="240"/>
    </w:pPr>
    <w:rPr>
      <w:caps/>
      <w:u w:val="single"/>
    </w:rPr>
  </w:style>
  <w:style w:type="character" w:customStyle="1" w:styleId="zzmpTrailerItem">
    <w:name w:val="zzmpTrailerItem"/>
    <w:rsid w:val="00BA0CEE"/>
    <w:rPr>
      <w:rFonts w:ascii="Univers" w:hAnsi="Univers"/>
      <w:dstrike w:val="0"/>
      <w:color w:val="auto"/>
      <w:spacing w:val="0"/>
      <w:position w:val="0"/>
      <w:sz w:val="10"/>
      <w:u w:val="none"/>
      <w:effect w:val="antsRed"/>
      <w:vertAlign w:val="baseline"/>
    </w:rPr>
  </w:style>
  <w:style w:type="paragraph" w:styleId="BlockText">
    <w:name w:val="Block Text"/>
    <w:basedOn w:val="Normal"/>
    <w:rsid w:val="00BA0CEE"/>
    <w:pPr>
      <w:spacing w:after="120"/>
      <w:ind w:left="1440" w:right="1440"/>
    </w:pPr>
  </w:style>
  <w:style w:type="character" w:styleId="Hyperlink">
    <w:name w:val="Hyperlink"/>
    <w:rsid w:val="00BA0CEE"/>
    <w:rPr>
      <w:color w:val="0000FF"/>
      <w:u w:val="single"/>
    </w:rPr>
  </w:style>
  <w:style w:type="paragraph" w:customStyle="1" w:styleId="Signed">
    <w:name w:val="Signed"/>
    <w:basedOn w:val="Normal"/>
    <w:rsid w:val="00BA0CEE"/>
    <w:pPr>
      <w:tabs>
        <w:tab w:val="right" w:pos="4140"/>
      </w:tabs>
      <w:spacing w:line="240" w:lineRule="atLeast"/>
    </w:pPr>
    <w:rPr>
      <w:lang w:val="en-GB"/>
    </w:rPr>
  </w:style>
  <w:style w:type="paragraph" w:customStyle="1" w:styleId="Subhead1">
    <w:name w:val="Subhead 1"/>
    <w:basedOn w:val="Normal"/>
    <w:rsid w:val="00BA0CEE"/>
    <w:pPr>
      <w:tabs>
        <w:tab w:val="left" w:pos="360"/>
      </w:tabs>
    </w:pPr>
    <w:rPr>
      <w:caps/>
      <w:sz w:val="20"/>
    </w:rPr>
  </w:style>
  <w:style w:type="paragraph" w:customStyle="1" w:styleId="Default">
    <w:name w:val="Default"/>
    <w:rsid w:val="00BA0CEE"/>
    <w:pPr>
      <w:widowControl w:val="0"/>
    </w:pPr>
    <w:rPr>
      <w:lang w:eastAsia="ja-JP"/>
    </w:rPr>
  </w:style>
  <w:style w:type="paragraph" w:customStyle="1" w:styleId="Indent">
    <w:name w:val="Indent"/>
    <w:basedOn w:val="Normal"/>
    <w:rsid w:val="00BA0CEE"/>
    <w:pPr>
      <w:tabs>
        <w:tab w:val="left" w:pos="720"/>
      </w:tabs>
      <w:ind w:left="720" w:hanging="720"/>
    </w:pPr>
    <w:rPr>
      <w:sz w:val="20"/>
    </w:rPr>
  </w:style>
  <w:style w:type="paragraph" w:styleId="BodyText3">
    <w:name w:val="Body Text 3"/>
    <w:basedOn w:val="Normal"/>
    <w:rsid w:val="00BA0CEE"/>
    <w:pPr>
      <w:tabs>
        <w:tab w:val="left" w:pos="9000"/>
        <w:tab w:val="left" w:pos="10080"/>
      </w:tabs>
    </w:pPr>
    <w:rPr>
      <w:lang w:val="en-GB"/>
    </w:rPr>
  </w:style>
  <w:style w:type="paragraph" w:customStyle="1" w:styleId="AltNormal">
    <w:name w:val="AltNormal"/>
    <w:basedOn w:val="Normal"/>
    <w:rsid w:val="00BA0CEE"/>
    <w:pPr>
      <w:spacing w:before="120" w:after="40"/>
    </w:pPr>
    <w:rPr>
      <w:sz w:val="20"/>
      <w:lang w:val="en-GB"/>
    </w:rPr>
  </w:style>
  <w:style w:type="paragraph" w:styleId="BodyText2">
    <w:name w:val="Body Text 2"/>
    <w:basedOn w:val="Normal"/>
    <w:rsid w:val="00BA0CEE"/>
    <w:pPr>
      <w:spacing w:after="120" w:line="480" w:lineRule="auto"/>
    </w:pPr>
  </w:style>
  <w:style w:type="paragraph" w:styleId="BodyTextFirstIndent">
    <w:name w:val="Body Text First Indent"/>
    <w:basedOn w:val="BodyText"/>
    <w:rsid w:val="00BA0CEE"/>
    <w:pPr>
      <w:widowControl/>
      <w:spacing w:after="120"/>
      <w:ind w:firstLine="210"/>
    </w:pPr>
  </w:style>
  <w:style w:type="paragraph" w:styleId="BodyTextFirstIndent2">
    <w:name w:val="Body Text First Indent 2"/>
    <w:basedOn w:val="BodyTextIndent"/>
    <w:rsid w:val="00BA0CEE"/>
    <w:pPr>
      <w:widowControl/>
      <w:spacing w:after="120"/>
      <w:ind w:left="360" w:firstLine="210"/>
    </w:pPr>
  </w:style>
  <w:style w:type="paragraph" w:styleId="BodyTextIndent2">
    <w:name w:val="Body Text Indent 2"/>
    <w:basedOn w:val="Normal"/>
    <w:rsid w:val="00BA0CEE"/>
    <w:pPr>
      <w:spacing w:after="120" w:line="480" w:lineRule="auto"/>
      <w:ind w:left="360"/>
    </w:pPr>
  </w:style>
  <w:style w:type="paragraph" w:styleId="BodyTextIndent3">
    <w:name w:val="Body Text Indent 3"/>
    <w:basedOn w:val="Normal"/>
    <w:rsid w:val="00BA0CEE"/>
    <w:pPr>
      <w:spacing w:after="120"/>
      <w:ind w:left="360"/>
    </w:pPr>
    <w:rPr>
      <w:sz w:val="16"/>
    </w:rPr>
  </w:style>
  <w:style w:type="paragraph" w:styleId="Caption">
    <w:name w:val="caption"/>
    <w:basedOn w:val="Normal"/>
    <w:next w:val="Normal"/>
    <w:qFormat/>
    <w:rsid w:val="00BA0CEE"/>
    <w:pPr>
      <w:spacing w:before="120" w:after="120"/>
    </w:pPr>
    <w:rPr>
      <w:b/>
    </w:rPr>
  </w:style>
  <w:style w:type="paragraph" w:styleId="Closing">
    <w:name w:val="Closing"/>
    <w:basedOn w:val="Normal"/>
    <w:rsid w:val="00BA0CEE"/>
    <w:pPr>
      <w:ind w:left="4320"/>
    </w:pPr>
  </w:style>
  <w:style w:type="character" w:styleId="CommentReference">
    <w:name w:val="annotation reference"/>
    <w:uiPriority w:val="99"/>
    <w:semiHidden/>
    <w:rsid w:val="00BA0CEE"/>
    <w:rPr>
      <w:sz w:val="16"/>
    </w:rPr>
  </w:style>
  <w:style w:type="paragraph" w:styleId="CommentText">
    <w:name w:val="annotation text"/>
    <w:basedOn w:val="Normal"/>
    <w:link w:val="CommentTextChar"/>
    <w:uiPriority w:val="99"/>
    <w:semiHidden/>
    <w:rsid w:val="00BA0CEE"/>
    <w:rPr>
      <w:sz w:val="20"/>
    </w:rPr>
  </w:style>
  <w:style w:type="paragraph" w:styleId="Date">
    <w:name w:val="Date"/>
    <w:basedOn w:val="Normal"/>
    <w:next w:val="Normal"/>
    <w:rsid w:val="00BA0CEE"/>
  </w:style>
  <w:style w:type="paragraph" w:styleId="DocumentMap">
    <w:name w:val="Document Map"/>
    <w:basedOn w:val="Normal"/>
    <w:semiHidden/>
    <w:rsid w:val="00BA0CEE"/>
    <w:pPr>
      <w:shd w:val="clear" w:color="auto" w:fill="000080"/>
    </w:pPr>
  </w:style>
  <w:style w:type="character" w:styleId="Emphasis">
    <w:name w:val="Emphasis"/>
    <w:qFormat/>
    <w:rsid w:val="00BA0CEE"/>
    <w:rPr>
      <w:i/>
    </w:rPr>
  </w:style>
  <w:style w:type="character" w:styleId="EndnoteReference">
    <w:name w:val="endnote reference"/>
    <w:semiHidden/>
    <w:rsid w:val="00BA0CEE"/>
    <w:rPr>
      <w:vertAlign w:val="superscript"/>
    </w:rPr>
  </w:style>
  <w:style w:type="paragraph" w:styleId="EndnoteText">
    <w:name w:val="endnote text"/>
    <w:basedOn w:val="Normal"/>
    <w:semiHidden/>
    <w:rsid w:val="00BA0CEE"/>
    <w:rPr>
      <w:sz w:val="20"/>
    </w:rPr>
  </w:style>
  <w:style w:type="paragraph" w:styleId="EnvelopeReturn">
    <w:name w:val="envelope return"/>
    <w:basedOn w:val="Normal"/>
    <w:rsid w:val="00BA0CEE"/>
    <w:rPr>
      <w:sz w:val="20"/>
    </w:rPr>
  </w:style>
  <w:style w:type="character" w:styleId="FollowedHyperlink">
    <w:name w:val="FollowedHyperlink"/>
    <w:rsid w:val="00BA0CEE"/>
    <w:rPr>
      <w:color w:val="800080"/>
      <w:u w:val="single"/>
    </w:rPr>
  </w:style>
  <w:style w:type="paragraph" w:styleId="Index1">
    <w:name w:val="index 1"/>
    <w:basedOn w:val="Normal"/>
    <w:next w:val="Normal"/>
    <w:autoRedefine/>
    <w:semiHidden/>
    <w:rsid w:val="00BA0CEE"/>
    <w:pPr>
      <w:ind w:left="240" w:hanging="240"/>
    </w:pPr>
  </w:style>
  <w:style w:type="paragraph" w:styleId="Index2">
    <w:name w:val="index 2"/>
    <w:basedOn w:val="Normal"/>
    <w:next w:val="Normal"/>
    <w:autoRedefine/>
    <w:semiHidden/>
    <w:rsid w:val="00BA0CEE"/>
    <w:pPr>
      <w:ind w:left="480" w:hanging="240"/>
    </w:pPr>
  </w:style>
  <w:style w:type="paragraph" w:styleId="Index3">
    <w:name w:val="index 3"/>
    <w:basedOn w:val="Normal"/>
    <w:next w:val="Normal"/>
    <w:autoRedefine/>
    <w:semiHidden/>
    <w:rsid w:val="00BA0CEE"/>
    <w:pPr>
      <w:ind w:left="720" w:hanging="240"/>
    </w:pPr>
  </w:style>
  <w:style w:type="paragraph" w:styleId="Index4">
    <w:name w:val="index 4"/>
    <w:basedOn w:val="Normal"/>
    <w:next w:val="Normal"/>
    <w:autoRedefine/>
    <w:semiHidden/>
    <w:rsid w:val="00BA0CEE"/>
    <w:pPr>
      <w:ind w:left="960" w:hanging="240"/>
    </w:pPr>
  </w:style>
  <w:style w:type="paragraph" w:styleId="Index5">
    <w:name w:val="index 5"/>
    <w:basedOn w:val="Normal"/>
    <w:next w:val="Normal"/>
    <w:autoRedefine/>
    <w:semiHidden/>
    <w:rsid w:val="00BA0CEE"/>
    <w:pPr>
      <w:ind w:left="1200" w:hanging="240"/>
    </w:pPr>
  </w:style>
  <w:style w:type="paragraph" w:styleId="Index6">
    <w:name w:val="index 6"/>
    <w:basedOn w:val="Normal"/>
    <w:next w:val="Normal"/>
    <w:autoRedefine/>
    <w:semiHidden/>
    <w:rsid w:val="00BA0CEE"/>
    <w:pPr>
      <w:ind w:left="1440" w:hanging="240"/>
    </w:pPr>
  </w:style>
  <w:style w:type="paragraph" w:styleId="Index7">
    <w:name w:val="index 7"/>
    <w:basedOn w:val="Normal"/>
    <w:next w:val="Normal"/>
    <w:autoRedefine/>
    <w:semiHidden/>
    <w:rsid w:val="00BA0CEE"/>
    <w:pPr>
      <w:ind w:left="1680" w:hanging="240"/>
    </w:pPr>
  </w:style>
  <w:style w:type="paragraph" w:styleId="Index8">
    <w:name w:val="index 8"/>
    <w:basedOn w:val="Normal"/>
    <w:next w:val="Normal"/>
    <w:autoRedefine/>
    <w:semiHidden/>
    <w:rsid w:val="00BA0CEE"/>
    <w:pPr>
      <w:ind w:left="1920" w:hanging="240"/>
    </w:pPr>
  </w:style>
  <w:style w:type="paragraph" w:styleId="Index9">
    <w:name w:val="index 9"/>
    <w:basedOn w:val="Normal"/>
    <w:next w:val="Normal"/>
    <w:autoRedefine/>
    <w:semiHidden/>
    <w:rsid w:val="00BA0CEE"/>
    <w:pPr>
      <w:ind w:left="2160" w:hanging="240"/>
    </w:pPr>
  </w:style>
  <w:style w:type="paragraph" w:styleId="IndexHeading">
    <w:name w:val="index heading"/>
    <w:basedOn w:val="Normal"/>
    <w:next w:val="Index1"/>
    <w:semiHidden/>
    <w:rsid w:val="00BA0CEE"/>
    <w:rPr>
      <w:b/>
    </w:rPr>
  </w:style>
  <w:style w:type="character" w:styleId="LineNumber">
    <w:name w:val="line number"/>
    <w:basedOn w:val="DefaultParagraphFont"/>
    <w:rsid w:val="00BA0CEE"/>
  </w:style>
  <w:style w:type="paragraph" w:styleId="List">
    <w:name w:val="List"/>
    <w:basedOn w:val="Normal"/>
    <w:rsid w:val="00BA0CEE"/>
    <w:pPr>
      <w:ind w:left="360" w:hanging="360"/>
    </w:pPr>
  </w:style>
  <w:style w:type="paragraph" w:styleId="List2">
    <w:name w:val="List 2"/>
    <w:basedOn w:val="Normal"/>
    <w:rsid w:val="00BA0CEE"/>
    <w:pPr>
      <w:ind w:left="720" w:hanging="360"/>
    </w:pPr>
  </w:style>
  <w:style w:type="paragraph" w:styleId="List3">
    <w:name w:val="List 3"/>
    <w:basedOn w:val="Normal"/>
    <w:rsid w:val="00BA0CEE"/>
    <w:pPr>
      <w:ind w:left="1080" w:hanging="360"/>
    </w:pPr>
  </w:style>
  <w:style w:type="paragraph" w:styleId="List4">
    <w:name w:val="List 4"/>
    <w:basedOn w:val="Normal"/>
    <w:rsid w:val="00BA0CEE"/>
    <w:pPr>
      <w:ind w:left="1440" w:hanging="360"/>
    </w:pPr>
  </w:style>
  <w:style w:type="paragraph" w:styleId="List5">
    <w:name w:val="List 5"/>
    <w:basedOn w:val="Normal"/>
    <w:rsid w:val="00BA0CEE"/>
    <w:pPr>
      <w:ind w:left="1800" w:hanging="360"/>
    </w:pPr>
  </w:style>
  <w:style w:type="paragraph" w:styleId="ListBullet">
    <w:name w:val="List Bullet"/>
    <w:basedOn w:val="Normal"/>
    <w:autoRedefine/>
    <w:rsid w:val="00BA0CEE"/>
    <w:pPr>
      <w:numPr>
        <w:numId w:val="1"/>
      </w:numPr>
    </w:pPr>
  </w:style>
  <w:style w:type="paragraph" w:styleId="ListBullet2">
    <w:name w:val="List Bullet 2"/>
    <w:basedOn w:val="Normal"/>
    <w:autoRedefine/>
    <w:rsid w:val="00BA0CEE"/>
    <w:pPr>
      <w:numPr>
        <w:numId w:val="2"/>
      </w:numPr>
    </w:pPr>
  </w:style>
  <w:style w:type="paragraph" w:styleId="ListBullet3">
    <w:name w:val="List Bullet 3"/>
    <w:basedOn w:val="Normal"/>
    <w:autoRedefine/>
    <w:rsid w:val="00BA0CEE"/>
    <w:pPr>
      <w:numPr>
        <w:numId w:val="3"/>
      </w:numPr>
    </w:pPr>
  </w:style>
  <w:style w:type="paragraph" w:styleId="ListBullet4">
    <w:name w:val="List Bullet 4"/>
    <w:basedOn w:val="Normal"/>
    <w:autoRedefine/>
    <w:rsid w:val="00BA0CEE"/>
    <w:pPr>
      <w:numPr>
        <w:numId w:val="4"/>
      </w:numPr>
    </w:pPr>
  </w:style>
  <w:style w:type="paragraph" w:styleId="ListBullet5">
    <w:name w:val="List Bullet 5"/>
    <w:basedOn w:val="Normal"/>
    <w:autoRedefine/>
    <w:rsid w:val="00BA0CEE"/>
    <w:pPr>
      <w:numPr>
        <w:numId w:val="5"/>
      </w:numPr>
    </w:pPr>
  </w:style>
  <w:style w:type="paragraph" w:styleId="ListContinue">
    <w:name w:val="List Continue"/>
    <w:basedOn w:val="Normal"/>
    <w:rsid w:val="00BA0CEE"/>
    <w:pPr>
      <w:spacing w:after="120"/>
      <w:ind w:left="360"/>
    </w:pPr>
  </w:style>
  <w:style w:type="paragraph" w:styleId="ListContinue2">
    <w:name w:val="List Continue 2"/>
    <w:basedOn w:val="Normal"/>
    <w:rsid w:val="00BA0CEE"/>
    <w:pPr>
      <w:spacing w:after="120"/>
      <w:ind w:left="720"/>
    </w:pPr>
  </w:style>
  <w:style w:type="paragraph" w:styleId="ListContinue3">
    <w:name w:val="List Continue 3"/>
    <w:basedOn w:val="Normal"/>
    <w:rsid w:val="00BA0CEE"/>
    <w:pPr>
      <w:spacing w:after="120"/>
      <w:ind w:left="1080"/>
    </w:pPr>
  </w:style>
  <w:style w:type="paragraph" w:styleId="ListContinue4">
    <w:name w:val="List Continue 4"/>
    <w:basedOn w:val="Normal"/>
    <w:rsid w:val="00BA0CEE"/>
    <w:pPr>
      <w:spacing w:after="120"/>
      <w:ind w:left="1440"/>
    </w:pPr>
  </w:style>
  <w:style w:type="paragraph" w:styleId="ListContinue5">
    <w:name w:val="List Continue 5"/>
    <w:basedOn w:val="Normal"/>
    <w:rsid w:val="00BA0CEE"/>
    <w:pPr>
      <w:spacing w:after="120"/>
      <w:ind w:left="1800"/>
    </w:pPr>
  </w:style>
  <w:style w:type="paragraph" w:styleId="ListNumber">
    <w:name w:val="List Number"/>
    <w:basedOn w:val="Normal"/>
    <w:rsid w:val="00BA0CEE"/>
    <w:pPr>
      <w:numPr>
        <w:numId w:val="6"/>
      </w:numPr>
    </w:pPr>
  </w:style>
  <w:style w:type="paragraph" w:styleId="ListNumber2">
    <w:name w:val="List Number 2"/>
    <w:basedOn w:val="Normal"/>
    <w:rsid w:val="00BA0CEE"/>
    <w:pPr>
      <w:numPr>
        <w:numId w:val="7"/>
      </w:numPr>
    </w:pPr>
  </w:style>
  <w:style w:type="paragraph" w:styleId="ListNumber3">
    <w:name w:val="List Number 3"/>
    <w:basedOn w:val="Normal"/>
    <w:rsid w:val="00BA0CEE"/>
    <w:pPr>
      <w:numPr>
        <w:numId w:val="8"/>
      </w:numPr>
    </w:pPr>
  </w:style>
  <w:style w:type="paragraph" w:styleId="ListNumber4">
    <w:name w:val="List Number 4"/>
    <w:basedOn w:val="Normal"/>
    <w:rsid w:val="00BA0CEE"/>
    <w:pPr>
      <w:numPr>
        <w:numId w:val="9"/>
      </w:numPr>
    </w:pPr>
  </w:style>
  <w:style w:type="paragraph" w:styleId="ListNumber5">
    <w:name w:val="List Number 5"/>
    <w:basedOn w:val="Normal"/>
    <w:rsid w:val="00BA0CEE"/>
    <w:pPr>
      <w:numPr>
        <w:numId w:val="10"/>
      </w:numPr>
    </w:pPr>
  </w:style>
  <w:style w:type="paragraph" w:styleId="MessageHeader">
    <w:name w:val="Message Header"/>
    <w:basedOn w:val="Normal"/>
    <w:rsid w:val="00BA0CEE"/>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rsid w:val="00BA0CEE"/>
  </w:style>
  <w:style w:type="paragraph" w:styleId="Salutation">
    <w:name w:val="Salutation"/>
    <w:basedOn w:val="Normal"/>
    <w:next w:val="Normal"/>
    <w:rsid w:val="00BA0CEE"/>
  </w:style>
  <w:style w:type="paragraph" w:styleId="Signature">
    <w:name w:val="Signature"/>
    <w:basedOn w:val="Normal"/>
    <w:rsid w:val="00BA0CEE"/>
    <w:pPr>
      <w:ind w:left="4320"/>
    </w:pPr>
  </w:style>
  <w:style w:type="character" w:styleId="Strong">
    <w:name w:val="Strong"/>
    <w:qFormat/>
    <w:rsid w:val="00BA0CEE"/>
    <w:rPr>
      <w:b/>
    </w:rPr>
  </w:style>
  <w:style w:type="paragraph" w:styleId="Subtitle">
    <w:name w:val="Subtitle"/>
    <w:basedOn w:val="Normal"/>
    <w:qFormat/>
    <w:rsid w:val="00BA0CEE"/>
    <w:pPr>
      <w:spacing w:after="60"/>
      <w:jc w:val="center"/>
      <w:outlineLvl w:val="1"/>
    </w:pPr>
  </w:style>
  <w:style w:type="paragraph" w:styleId="TableofFigures">
    <w:name w:val="table of figures"/>
    <w:basedOn w:val="Normal"/>
    <w:next w:val="Normal"/>
    <w:semiHidden/>
    <w:rsid w:val="00BA0CEE"/>
    <w:pPr>
      <w:ind w:left="480" w:hanging="480"/>
    </w:pPr>
  </w:style>
  <w:style w:type="paragraph" w:styleId="Title">
    <w:name w:val="Title"/>
    <w:basedOn w:val="Normal"/>
    <w:qFormat/>
    <w:rsid w:val="00BA0CEE"/>
    <w:pPr>
      <w:spacing w:before="240" w:after="60"/>
      <w:jc w:val="center"/>
      <w:outlineLvl w:val="0"/>
    </w:pPr>
    <w:rPr>
      <w:b/>
      <w:kern w:val="28"/>
      <w:sz w:val="32"/>
    </w:rPr>
  </w:style>
  <w:style w:type="paragraph" w:customStyle="1" w:styleId="NumContinue">
    <w:name w:val="Num Continue"/>
    <w:basedOn w:val="BodyText"/>
    <w:rsid w:val="00BA0CEE"/>
  </w:style>
  <w:style w:type="paragraph" w:customStyle="1" w:styleId="StandardL1">
    <w:name w:val="Standard_L1"/>
    <w:basedOn w:val="Normal"/>
    <w:next w:val="BodyText"/>
    <w:rsid w:val="00BA0CEE"/>
    <w:pPr>
      <w:numPr>
        <w:numId w:val="11"/>
      </w:numPr>
      <w:jc w:val="left"/>
      <w:outlineLvl w:val="0"/>
    </w:pPr>
  </w:style>
  <w:style w:type="paragraph" w:customStyle="1" w:styleId="StandardL2">
    <w:name w:val="Standard_L2"/>
    <w:basedOn w:val="StandardL1"/>
    <w:next w:val="BodyText"/>
    <w:rsid w:val="00BA0CEE"/>
    <w:pPr>
      <w:numPr>
        <w:ilvl w:val="1"/>
      </w:numPr>
      <w:outlineLvl w:val="1"/>
    </w:pPr>
  </w:style>
  <w:style w:type="paragraph" w:customStyle="1" w:styleId="StandardL3">
    <w:name w:val="Standard_L3"/>
    <w:basedOn w:val="StandardL2"/>
    <w:next w:val="BodyText"/>
    <w:rsid w:val="00BA0CEE"/>
    <w:pPr>
      <w:numPr>
        <w:ilvl w:val="2"/>
      </w:numPr>
      <w:outlineLvl w:val="2"/>
    </w:pPr>
  </w:style>
  <w:style w:type="paragraph" w:customStyle="1" w:styleId="StandardL4">
    <w:name w:val="Standard_L4"/>
    <w:basedOn w:val="StandardL3"/>
    <w:next w:val="BodyText"/>
    <w:rsid w:val="00BA0CEE"/>
    <w:pPr>
      <w:numPr>
        <w:ilvl w:val="3"/>
      </w:numPr>
      <w:outlineLvl w:val="3"/>
    </w:pPr>
  </w:style>
  <w:style w:type="paragraph" w:customStyle="1" w:styleId="StandardL5">
    <w:name w:val="Standard_L5"/>
    <w:basedOn w:val="StandardL4"/>
    <w:next w:val="BodyText"/>
    <w:rsid w:val="00BA0CEE"/>
    <w:pPr>
      <w:numPr>
        <w:ilvl w:val="4"/>
      </w:numPr>
      <w:outlineLvl w:val="4"/>
    </w:pPr>
  </w:style>
  <w:style w:type="paragraph" w:customStyle="1" w:styleId="StandardL6">
    <w:name w:val="Standard_L6"/>
    <w:basedOn w:val="StandardL5"/>
    <w:next w:val="BodyText"/>
    <w:rsid w:val="00BA0CEE"/>
    <w:pPr>
      <w:numPr>
        <w:ilvl w:val="5"/>
      </w:numPr>
      <w:outlineLvl w:val="5"/>
    </w:pPr>
  </w:style>
  <w:style w:type="paragraph" w:customStyle="1" w:styleId="StandardL7">
    <w:name w:val="Standard_L7"/>
    <w:basedOn w:val="StandardL6"/>
    <w:next w:val="BodyText"/>
    <w:rsid w:val="00BA0CEE"/>
    <w:pPr>
      <w:numPr>
        <w:ilvl w:val="6"/>
      </w:numPr>
      <w:outlineLvl w:val="6"/>
    </w:pPr>
  </w:style>
  <w:style w:type="paragraph" w:customStyle="1" w:styleId="StandardL8">
    <w:name w:val="Standard_L8"/>
    <w:basedOn w:val="StandardL7"/>
    <w:next w:val="BodyText"/>
    <w:rsid w:val="00BA0CEE"/>
    <w:pPr>
      <w:numPr>
        <w:ilvl w:val="7"/>
      </w:numPr>
      <w:outlineLvl w:val="7"/>
    </w:pPr>
  </w:style>
  <w:style w:type="paragraph" w:customStyle="1" w:styleId="StandardL9">
    <w:name w:val="Standard_L9"/>
    <w:basedOn w:val="StandardL8"/>
    <w:next w:val="BodyText"/>
    <w:rsid w:val="00BA0CEE"/>
    <w:pPr>
      <w:numPr>
        <w:ilvl w:val="8"/>
      </w:numPr>
      <w:outlineLvl w:val="8"/>
    </w:pPr>
  </w:style>
  <w:style w:type="character" w:customStyle="1" w:styleId="zzmpTCEntryL1">
    <w:name w:val="zzmpTCEntryL1"/>
    <w:rsid w:val="00BA0CEE"/>
    <w:rPr>
      <w:b/>
      <w:caps/>
      <w:color w:val="0000FF"/>
    </w:rPr>
  </w:style>
  <w:style w:type="character" w:customStyle="1" w:styleId="zzmpTCEntryL2">
    <w:name w:val="zzmpTCEntryL2"/>
    <w:rsid w:val="00BA0CEE"/>
    <w:rPr>
      <w:b/>
      <w:color w:val="0000FF"/>
    </w:rPr>
  </w:style>
  <w:style w:type="character" w:customStyle="1" w:styleId="zzmpTCEntryL3">
    <w:name w:val="zzmpTCEntryL3"/>
    <w:rsid w:val="00BA0CEE"/>
    <w:rPr>
      <w:b/>
      <w:color w:val="0000FF"/>
    </w:rPr>
  </w:style>
  <w:style w:type="character" w:customStyle="1" w:styleId="zzmpTCEntryL4">
    <w:name w:val="zzmpTCEntryL4"/>
    <w:rsid w:val="00BA0CEE"/>
    <w:rPr>
      <w:b/>
      <w:color w:val="0000FF"/>
    </w:rPr>
  </w:style>
  <w:style w:type="character" w:customStyle="1" w:styleId="zzmpTCEntryL5">
    <w:name w:val="zzmpTCEntryL5"/>
    <w:rsid w:val="00BA0CEE"/>
    <w:rPr>
      <w:b w:val="0"/>
      <w:color w:val="0000FF"/>
    </w:rPr>
  </w:style>
  <w:style w:type="character" w:customStyle="1" w:styleId="zzmpTCEntryL6">
    <w:name w:val="zzmpTCEntryL6"/>
    <w:rsid w:val="00BA0CEE"/>
    <w:rPr>
      <w:b w:val="0"/>
      <w:color w:val="0000FF"/>
    </w:rPr>
  </w:style>
  <w:style w:type="character" w:customStyle="1" w:styleId="zzmpTCEntryL7">
    <w:name w:val="zzmpTCEntryL7"/>
    <w:rsid w:val="00BA0CEE"/>
    <w:rPr>
      <w:b w:val="0"/>
      <w:color w:val="0000FF"/>
    </w:rPr>
  </w:style>
  <w:style w:type="character" w:customStyle="1" w:styleId="zzmpTCEntryL8">
    <w:name w:val="zzmpTCEntryL8"/>
    <w:rsid w:val="00BA0CEE"/>
    <w:rPr>
      <w:b w:val="0"/>
      <w:color w:val="0000FF"/>
    </w:rPr>
  </w:style>
  <w:style w:type="character" w:customStyle="1" w:styleId="zzmpTCEntryL9">
    <w:name w:val="zzmpTCEntryL9"/>
    <w:rsid w:val="00BA0CEE"/>
    <w:rPr>
      <w:b w:val="0"/>
      <w:color w:val="0000FF"/>
    </w:rPr>
  </w:style>
  <w:style w:type="paragraph" w:customStyle="1" w:styleId="FooterSmallPrint">
    <w:name w:val="FooterSmallPrint"/>
    <w:basedOn w:val="Normal"/>
    <w:next w:val="Normal"/>
    <w:rsid w:val="00BA0CEE"/>
    <w:pPr>
      <w:spacing w:after="0"/>
      <w:jc w:val="left"/>
    </w:pPr>
    <w:rPr>
      <w:sz w:val="16"/>
    </w:rPr>
  </w:style>
  <w:style w:type="paragraph" w:styleId="BalloonText">
    <w:name w:val="Balloon Text"/>
    <w:basedOn w:val="Normal"/>
    <w:semiHidden/>
    <w:rsid w:val="00BA0CEE"/>
    <w:rPr>
      <w:rFonts w:ascii="Tahoma" w:hAnsi="Tahoma" w:cs="Tahoma"/>
      <w:sz w:val="16"/>
      <w:szCs w:val="16"/>
    </w:rPr>
  </w:style>
  <w:style w:type="paragraph" w:styleId="CommentSubject">
    <w:name w:val="annotation subject"/>
    <w:basedOn w:val="CommentText"/>
    <w:next w:val="CommentText"/>
    <w:semiHidden/>
    <w:rsid w:val="00BA0CEE"/>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character" w:customStyle="1" w:styleId="FootnoteTextChar">
    <w:name w:val="Footnote Text Char"/>
    <w:link w:val="FootnoteText"/>
    <w:rsid w:val="004016E1"/>
    <w:rPr>
      <w:lang w:eastAsia="ja-JP"/>
    </w:rPr>
  </w:style>
  <w:style w:type="table" w:styleId="TableGrid">
    <w:name w:val="Table Grid"/>
    <w:basedOn w:val="TableNormal"/>
    <w:rsid w:val="0092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2740">
      <w:bodyDiv w:val="1"/>
      <w:marLeft w:val="0"/>
      <w:marRight w:val="0"/>
      <w:marTop w:val="0"/>
      <w:marBottom w:val="0"/>
      <w:divBdr>
        <w:top w:val="none" w:sz="0" w:space="0" w:color="auto"/>
        <w:left w:val="none" w:sz="0" w:space="0" w:color="auto"/>
        <w:bottom w:val="none" w:sz="0" w:space="0" w:color="auto"/>
        <w:right w:val="none" w:sz="0" w:space="0" w:color="auto"/>
      </w:divBdr>
      <w:divsChild>
        <w:div w:id="847210256">
          <w:marLeft w:val="720"/>
          <w:marRight w:val="0"/>
          <w:marTop w:val="0"/>
          <w:marBottom w:val="80"/>
          <w:divBdr>
            <w:top w:val="none" w:sz="0" w:space="0" w:color="auto"/>
            <w:left w:val="none" w:sz="0" w:space="0" w:color="auto"/>
            <w:bottom w:val="none" w:sz="0" w:space="0" w:color="auto"/>
            <w:right w:val="none" w:sz="0" w:space="0" w:color="auto"/>
          </w:divBdr>
        </w:div>
      </w:divsChild>
    </w:div>
    <w:div w:id="907613390">
      <w:bodyDiv w:val="1"/>
      <w:marLeft w:val="0"/>
      <w:marRight w:val="0"/>
      <w:marTop w:val="0"/>
      <w:marBottom w:val="0"/>
      <w:divBdr>
        <w:top w:val="none" w:sz="0" w:space="0" w:color="auto"/>
        <w:left w:val="none" w:sz="0" w:space="0" w:color="auto"/>
        <w:bottom w:val="none" w:sz="0" w:space="0" w:color="auto"/>
        <w:right w:val="none" w:sz="0" w:space="0" w:color="auto"/>
      </w:divBdr>
      <w:divsChild>
        <w:div w:id="1982879354">
          <w:marLeft w:val="720"/>
          <w:marRight w:val="0"/>
          <w:marTop w:val="0"/>
          <w:marBottom w:val="80"/>
          <w:divBdr>
            <w:top w:val="none" w:sz="0" w:space="0" w:color="auto"/>
            <w:left w:val="none" w:sz="0" w:space="0" w:color="auto"/>
            <w:bottom w:val="none" w:sz="0" w:space="0" w:color="auto"/>
            <w:right w:val="none" w:sz="0" w:space="0" w:color="auto"/>
          </w:divBdr>
        </w:div>
      </w:divsChild>
    </w:div>
    <w:div w:id="919094267">
      <w:bodyDiv w:val="1"/>
      <w:marLeft w:val="0"/>
      <w:marRight w:val="0"/>
      <w:marTop w:val="0"/>
      <w:marBottom w:val="0"/>
      <w:divBdr>
        <w:top w:val="none" w:sz="0" w:space="0" w:color="auto"/>
        <w:left w:val="none" w:sz="0" w:space="0" w:color="auto"/>
        <w:bottom w:val="none" w:sz="0" w:space="0" w:color="auto"/>
        <w:right w:val="none" w:sz="0" w:space="0" w:color="auto"/>
      </w:divBdr>
      <w:divsChild>
        <w:div w:id="1799687391">
          <w:marLeft w:val="907"/>
          <w:marRight w:val="0"/>
          <w:marTop w:val="0"/>
          <w:marBottom w:val="120"/>
          <w:divBdr>
            <w:top w:val="none" w:sz="0" w:space="0" w:color="auto"/>
            <w:left w:val="none" w:sz="0" w:space="0" w:color="auto"/>
            <w:bottom w:val="none" w:sz="0" w:space="0" w:color="auto"/>
            <w:right w:val="none" w:sz="0" w:space="0" w:color="auto"/>
          </w:divBdr>
        </w:div>
        <w:div w:id="1637642404">
          <w:marLeft w:val="994"/>
          <w:marRight w:val="0"/>
          <w:marTop w:val="0"/>
          <w:marBottom w:val="0"/>
          <w:divBdr>
            <w:top w:val="none" w:sz="0" w:space="0" w:color="auto"/>
            <w:left w:val="none" w:sz="0" w:space="0" w:color="auto"/>
            <w:bottom w:val="none" w:sz="0" w:space="0" w:color="auto"/>
            <w:right w:val="none" w:sz="0" w:space="0" w:color="auto"/>
          </w:divBdr>
        </w:div>
        <w:div w:id="2110393124">
          <w:marLeft w:val="994"/>
          <w:marRight w:val="0"/>
          <w:marTop w:val="0"/>
          <w:marBottom w:val="0"/>
          <w:divBdr>
            <w:top w:val="none" w:sz="0" w:space="0" w:color="auto"/>
            <w:left w:val="none" w:sz="0" w:space="0" w:color="auto"/>
            <w:bottom w:val="none" w:sz="0" w:space="0" w:color="auto"/>
            <w:right w:val="none" w:sz="0" w:space="0" w:color="auto"/>
          </w:divBdr>
        </w:div>
        <w:div w:id="1902666931">
          <w:marLeft w:val="994"/>
          <w:marRight w:val="0"/>
          <w:marTop w:val="0"/>
          <w:marBottom w:val="240"/>
          <w:divBdr>
            <w:top w:val="none" w:sz="0" w:space="0" w:color="auto"/>
            <w:left w:val="none" w:sz="0" w:space="0" w:color="auto"/>
            <w:bottom w:val="none" w:sz="0" w:space="0" w:color="auto"/>
            <w:right w:val="none" w:sz="0" w:space="0" w:color="auto"/>
          </w:divBdr>
        </w:div>
        <w:div w:id="1453356565">
          <w:marLeft w:val="907"/>
          <w:marRight w:val="0"/>
          <w:marTop w:val="240"/>
          <w:marBottom w:val="120"/>
          <w:divBdr>
            <w:top w:val="none" w:sz="0" w:space="0" w:color="auto"/>
            <w:left w:val="none" w:sz="0" w:space="0" w:color="auto"/>
            <w:bottom w:val="none" w:sz="0" w:space="0" w:color="auto"/>
            <w:right w:val="none" w:sz="0" w:space="0" w:color="auto"/>
          </w:divBdr>
        </w:div>
        <w:div w:id="712273346">
          <w:marLeft w:val="994"/>
          <w:marRight w:val="0"/>
          <w:marTop w:val="0"/>
          <w:marBottom w:val="0"/>
          <w:divBdr>
            <w:top w:val="none" w:sz="0" w:space="0" w:color="auto"/>
            <w:left w:val="none" w:sz="0" w:space="0" w:color="auto"/>
            <w:bottom w:val="none" w:sz="0" w:space="0" w:color="auto"/>
            <w:right w:val="none" w:sz="0" w:space="0" w:color="auto"/>
          </w:divBdr>
        </w:div>
        <w:div w:id="1259291263">
          <w:marLeft w:val="994"/>
          <w:marRight w:val="0"/>
          <w:marTop w:val="0"/>
          <w:marBottom w:val="240"/>
          <w:divBdr>
            <w:top w:val="none" w:sz="0" w:space="0" w:color="auto"/>
            <w:left w:val="none" w:sz="0" w:space="0" w:color="auto"/>
            <w:bottom w:val="none" w:sz="0" w:space="0" w:color="auto"/>
            <w:right w:val="none" w:sz="0" w:space="0" w:color="auto"/>
          </w:divBdr>
        </w:div>
        <w:div w:id="804271729">
          <w:marLeft w:val="907"/>
          <w:marRight w:val="0"/>
          <w:marTop w:val="240"/>
          <w:marBottom w:val="120"/>
          <w:divBdr>
            <w:top w:val="none" w:sz="0" w:space="0" w:color="auto"/>
            <w:left w:val="none" w:sz="0" w:space="0" w:color="auto"/>
            <w:bottom w:val="none" w:sz="0" w:space="0" w:color="auto"/>
            <w:right w:val="none" w:sz="0" w:space="0" w:color="auto"/>
          </w:divBdr>
        </w:div>
        <w:div w:id="470946151">
          <w:marLeft w:val="994"/>
          <w:marRight w:val="0"/>
          <w:marTop w:val="0"/>
          <w:marBottom w:val="240"/>
          <w:divBdr>
            <w:top w:val="none" w:sz="0" w:space="0" w:color="auto"/>
            <w:left w:val="none" w:sz="0" w:space="0" w:color="auto"/>
            <w:bottom w:val="none" w:sz="0" w:space="0" w:color="auto"/>
            <w:right w:val="none" w:sz="0" w:space="0" w:color="auto"/>
          </w:divBdr>
        </w:div>
      </w:divsChild>
    </w:div>
    <w:div w:id="1180896463">
      <w:bodyDiv w:val="1"/>
      <w:marLeft w:val="0"/>
      <w:marRight w:val="0"/>
      <w:marTop w:val="0"/>
      <w:marBottom w:val="0"/>
      <w:divBdr>
        <w:top w:val="none" w:sz="0" w:space="0" w:color="auto"/>
        <w:left w:val="none" w:sz="0" w:space="0" w:color="auto"/>
        <w:bottom w:val="none" w:sz="0" w:space="0" w:color="auto"/>
        <w:right w:val="none" w:sz="0" w:space="0" w:color="auto"/>
      </w:divBdr>
    </w:div>
    <w:div w:id="1305425262">
      <w:bodyDiv w:val="1"/>
      <w:marLeft w:val="0"/>
      <w:marRight w:val="0"/>
      <w:marTop w:val="0"/>
      <w:marBottom w:val="0"/>
      <w:divBdr>
        <w:top w:val="none" w:sz="0" w:space="0" w:color="auto"/>
        <w:left w:val="none" w:sz="0" w:space="0" w:color="auto"/>
        <w:bottom w:val="none" w:sz="0" w:space="0" w:color="auto"/>
        <w:right w:val="none" w:sz="0" w:space="0" w:color="auto"/>
      </w:divBdr>
    </w:div>
    <w:div w:id="2002346879">
      <w:bodyDiv w:val="1"/>
      <w:marLeft w:val="0"/>
      <w:marRight w:val="0"/>
      <w:marTop w:val="0"/>
      <w:marBottom w:val="0"/>
      <w:divBdr>
        <w:top w:val="none" w:sz="0" w:space="0" w:color="auto"/>
        <w:left w:val="none" w:sz="0" w:space="0" w:color="auto"/>
        <w:bottom w:val="none" w:sz="0" w:space="0" w:color="auto"/>
        <w:right w:val="none" w:sz="0" w:space="0" w:color="auto"/>
      </w:divBdr>
      <w:divsChild>
        <w:div w:id="1211261031">
          <w:marLeft w:val="720"/>
          <w:marRight w:val="0"/>
          <w:marTop w:val="0"/>
          <w:marBottom w:val="80"/>
          <w:divBdr>
            <w:top w:val="none" w:sz="0" w:space="0" w:color="auto"/>
            <w:left w:val="none" w:sz="0" w:space="0" w:color="auto"/>
            <w:bottom w:val="none" w:sz="0" w:space="0" w:color="auto"/>
            <w:right w:val="none" w:sz="0" w:space="0" w:color="auto"/>
          </w:divBdr>
        </w:div>
      </w:divsChild>
    </w:div>
    <w:div w:id="2007125585">
      <w:bodyDiv w:val="1"/>
      <w:marLeft w:val="0"/>
      <w:marRight w:val="0"/>
      <w:marTop w:val="0"/>
      <w:marBottom w:val="0"/>
      <w:divBdr>
        <w:top w:val="none" w:sz="0" w:space="0" w:color="auto"/>
        <w:left w:val="none" w:sz="0" w:space="0" w:color="auto"/>
        <w:bottom w:val="none" w:sz="0" w:space="0" w:color="auto"/>
        <w:right w:val="none" w:sz="0" w:space="0" w:color="auto"/>
      </w:divBdr>
    </w:div>
    <w:div w:id="2131825409">
      <w:bodyDiv w:val="1"/>
      <w:marLeft w:val="0"/>
      <w:marRight w:val="0"/>
      <w:marTop w:val="0"/>
      <w:marBottom w:val="0"/>
      <w:divBdr>
        <w:top w:val="none" w:sz="0" w:space="0" w:color="auto"/>
        <w:left w:val="none" w:sz="0" w:space="0" w:color="auto"/>
        <w:bottom w:val="none" w:sz="0" w:space="0" w:color="auto"/>
        <w:right w:val="none" w:sz="0" w:space="0" w:color="auto"/>
      </w:divBdr>
      <w:divsChild>
        <w:div w:id="34475716">
          <w:marLeft w:val="72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A738-2203-4326-9110-C48CB42C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Current Routing Solution</vt:lpstr>
    </vt:vector>
  </TitlesOfParts>
  <Company>Microsoft</Company>
  <LinksUpToDate>false</LinksUpToDate>
  <CharactersWithSpaces>13026</CharactersWithSpaces>
  <SharedDoc>false</SharedDoc>
  <HLinks>
    <vt:vector size="6" baseType="variant">
      <vt:variant>
        <vt:i4>589934</vt:i4>
      </vt:variant>
      <vt:variant>
        <vt:i4>0</vt:i4>
      </vt:variant>
      <vt:variant>
        <vt:i4>0</vt:i4>
      </vt:variant>
      <vt:variant>
        <vt:i4>5</vt:i4>
      </vt:variant>
      <vt:variant>
        <vt:lpwstr>sip:+14632963800@gw02.verizon.net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Routing Solution</dc:title>
  <dc:subject>Routing Solution for IP Interconnect</dc:subject>
  <dc:creator>Mark Desterdick</dc:creator>
  <cp:lastModifiedBy>v271400</cp:lastModifiedBy>
  <cp:revision>8</cp:revision>
  <cp:lastPrinted>2014-03-18T14:50:00Z</cp:lastPrinted>
  <dcterms:created xsi:type="dcterms:W3CDTF">2014-03-28T19:12:00Z</dcterms:created>
  <dcterms:modified xsi:type="dcterms:W3CDTF">2014-03-28T19:37:00Z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wabeDocInfo">
    <vt:lpwstr>pdx/111662/136721/TFH/1289408.1</vt:lpwstr>
  </property>
</Properties>
</file>