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032EF0B9" w14:textId="77777777"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AD5A1B4" w14:textId="77777777"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77777777"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77777777"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77777777"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42464D12" w14:textId="77777777" w:rsidR="007E23D3" w:rsidRPr="007E23D3" w:rsidRDefault="0030439F" w:rsidP="00572688">
            <w:pPr>
              <w:jc w:val="left"/>
              <w:rPr>
                <w:rFonts w:cs="Arial"/>
                <w:sz w:val="18"/>
                <w:szCs w:val="18"/>
              </w:rPr>
            </w:pPr>
            <w:r>
              <w:rPr>
                <w:rFonts w:cs="Arial"/>
                <w:sz w:val="18"/>
                <w:szCs w:val="18"/>
              </w:rPr>
              <w:t>Gary Richenaker</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lastRenderedPageBreak/>
        <w:t>Executive Summary</w:t>
      </w:r>
    </w:p>
    <w:p w14:paraId="56277A55" w14:textId="3FD8CDB1" w:rsidR="00CC4E19" w:rsidRDefault="00E54AA7" w:rsidP="00CC4E19">
      <w:r>
        <w:t>This Technical Report describes use cases where a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r w:rsidR="007873F7">
        <w:t>; Delegated Certificates, EV Certificates with TN Letter of Authorization (LOA</w:t>
      </w:r>
      <w:r w:rsidR="00FF401D">
        <w:t>)</w:t>
      </w:r>
      <w:r w:rsidR="007873F7">
        <w:t>, and Central Database,</w:t>
      </w:r>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three 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2576EAE9" w14:textId="77777777" w:rsidR="00E54AA7"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approach the general problem.  The three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three approaches are 1) Delegated Certificates, 2) EV Certificates with TN Letter of Authorization (LOA) and 3) Central Database.  Within the Delegated Certificate approach there are various solution sub-options that differ based on who authorizes the Enterprise to obtain a certificate and who issues the certificate.   It should be noted that these approaches are not mutually exclusive and more than one approach can be implemented without impacting the other(s).</w:t>
      </w:r>
    </w:p>
    <w:p w14:paraId="6405C8DA" w14:textId="1479C7D0" w:rsidR="00CC4E19" w:rsidRDefault="00CC4E19" w:rsidP="00CC4E19">
      <w:r>
        <w:t xml:space="preserve">As shown in the Solution Comparison Matrix in Table A.1, all three solution approaches are technically viable in terms of their ability to support the principles listed in Section </w:t>
      </w:r>
      <w:r w:rsidR="001F18F2">
        <w:t>6</w:t>
      </w:r>
      <w:r>
        <w:t>. The three approaches share the following fundamental constructs:</w:t>
      </w:r>
    </w:p>
    <w:p w14:paraId="4CF751F9" w14:textId="77777777"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TNSP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64777A09" w14:textId="77777777" w:rsidR="00CC4E19" w:rsidRDefault="00CC4E19" w:rsidP="00CC4E19"/>
    <w:p w14:paraId="01B9A6D5" w14:textId="1137F0D8" w:rsidR="00967D24" w:rsidRDefault="00E54AA7" w:rsidP="00967D24">
      <w:pPr>
        <w:autoSpaceDE w:val="0"/>
        <w:autoSpaceDN w:val="0"/>
        <w:adjustRightInd w:val="0"/>
        <w:spacing w:before="0" w:after="0"/>
        <w:jc w:val="left"/>
      </w:pPr>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6117848E" w14:textId="3A49E389" w:rsidR="004B443F" w:rsidRDefault="00F64795" w:rsidP="002B03E1">
      <w:pPr>
        <w:pStyle w:val="Heading1"/>
      </w:pPr>
      <w:r>
        <w:t xml:space="preserve">Scope </w:t>
      </w:r>
    </w:p>
    <w:p w14:paraId="5E4523E2" w14:textId="2A1F5461"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originating service provider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terminating service provider </w:t>
      </w:r>
      <w:r w:rsidR="002438CA">
        <w:rPr>
          <w:rFonts w:cs="Arial"/>
        </w:rPr>
        <w:t>(T</w:t>
      </w:r>
      <w:r w:rsidR="00AA7500">
        <w:rPr>
          <w:rFonts w:cs="Arial"/>
        </w:rPr>
        <w:t xml:space="preserve">SP) to verify the OSP identity and </w:t>
      </w:r>
      <w:r w:rsidR="00AA7500">
        <w:rPr>
          <w:rFonts w:cs="Arial"/>
        </w:rPr>
        <w:lastRenderedPageBreak/>
        <w:t>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6146BEFC"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0B3B48">
        <w:t>,</w:t>
      </w:r>
      <w:r w:rsidR="00D91AC2">
        <w:t xml:space="preserve"> thus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525E7D19" w14:textId="523F0BC7"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77777777"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36FF89CC"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277A051B" w:rsidR="00424AF1" w:rsidRDefault="00424AF1" w:rsidP="00424AF1">
      <w:r>
        <w:t xml:space="preserve">The following standards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77777777" w:rsidR="002B7015" w:rsidRDefault="002B7015" w:rsidP="00424AF1"/>
    <w:p w14:paraId="41D28EA6" w14:textId="77777777" w:rsidR="00424AF1" w:rsidRDefault="00424AF1" w:rsidP="002B03E1">
      <w:pPr>
        <w:pStyle w:val="Heading1"/>
      </w:pPr>
      <w:r>
        <w:lastRenderedPageBreak/>
        <w:t>Definitions, Acronyms, &amp; Abbreviations</w:t>
      </w:r>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B393388" w14:textId="77777777" w:rsidR="003F4DC3" w:rsidRDefault="003F4DC3" w:rsidP="00DC2E79">
      <w:r>
        <w:t xml:space="preserve">Authoritative Directory: A data store of TNs and their verified association to the </w:t>
      </w:r>
      <w:r w:rsidR="00623525">
        <w:t xml:space="preserve">TN </w:t>
      </w:r>
      <w:r>
        <w:t>customer and which is populated by authorized parties.</w:t>
      </w:r>
    </w:p>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1A253772" w14:textId="6D59EC24" w:rsidR="00DC2E79" w:rsidRPr="00276AC2" w:rsidRDefault="00B13F18" w:rsidP="00DC2E79">
      <w:r>
        <w:t xml:space="preserve">Telephone Number </w:t>
      </w:r>
      <w:r w:rsidR="007A10F1">
        <w:t xml:space="preserve">Assignee </w:t>
      </w:r>
      <w:r>
        <w:t xml:space="preserve">(TN </w:t>
      </w:r>
      <w:r w:rsidR="007A10F1">
        <w:t>Assignee</w:t>
      </w:r>
      <w:r>
        <w:t>)</w:t>
      </w:r>
      <w:r w:rsidR="00DC2E79" w:rsidRPr="00276AC2">
        <w:t>: Entity (e.g.,</w:t>
      </w:r>
      <w:r w:rsidR="00DC2E79">
        <w:t xml:space="preserve"> </w:t>
      </w:r>
      <w:r w:rsidR="00DC2E79" w:rsidRPr="00276AC2">
        <w:t>enterprise</w:t>
      </w:r>
      <w:r w:rsidR="00DC2E79">
        <w:t xml:space="preserve">, </w:t>
      </w:r>
      <w:r w:rsidR="007A10F1">
        <w:t xml:space="preserve">service provider, </w:t>
      </w:r>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77777777"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77777777"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7777777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3231476C" w:rsidR="00BC0AEA" w:rsidRDefault="00BC0AEA" w:rsidP="00BC0AEA">
      <w:r>
        <w:t xml:space="preserve">TN Delegee:  An entity a TN assignee delegates TNs to for calling purposes.  Note that TN delegation may not be an exclusive arrangement.  For instance, a TN assignee may be an enterprise entity using a TN of 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lastRenderedPageBreak/>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28EC4BBF" w14:textId="77777777" w:rsidTr="001F2162">
        <w:tc>
          <w:tcPr>
            <w:tcW w:w="1098" w:type="dxa"/>
          </w:tcPr>
          <w:p w14:paraId="17648AE9" w14:textId="77777777" w:rsidR="001F2162" w:rsidRPr="001F2162" w:rsidRDefault="001F2162" w:rsidP="00F17692">
            <w:pPr>
              <w:rPr>
                <w:sz w:val="18"/>
                <w:szCs w:val="18"/>
              </w:rPr>
            </w:pPr>
            <w:r w:rsidRPr="001F2162">
              <w:rPr>
                <w:sz w:val="18"/>
                <w:szCs w:val="18"/>
              </w:rPr>
              <w:t>ATIS</w:t>
            </w:r>
          </w:p>
        </w:tc>
        <w:tc>
          <w:tcPr>
            <w:tcW w:w="9198" w:type="dxa"/>
          </w:tcPr>
          <w:p w14:paraId="0731CEBC" w14:textId="77777777" w:rsidR="001F2162" w:rsidRDefault="001F2162" w:rsidP="00F17692">
            <w:pPr>
              <w:rPr>
                <w:sz w:val="18"/>
                <w:szCs w:val="18"/>
              </w:rPr>
            </w:pPr>
            <w:r w:rsidRPr="001F2162">
              <w:rPr>
                <w:sz w:val="18"/>
                <w:szCs w:val="18"/>
              </w:rPr>
              <w:t>Alliance for Telecommunications Industry Solutions</w:t>
            </w:r>
          </w:p>
          <w:p w14:paraId="1CD4BDB8" w14:textId="77777777" w:rsidR="00BD4BD4" w:rsidRDefault="00BD4BD4" w:rsidP="00F17692">
            <w:pPr>
              <w:rPr>
                <w:sz w:val="18"/>
                <w:szCs w:val="18"/>
              </w:rPr>
            </w:pPr>
            <w:r>
              <w:rPr>
                <w:sz w:val="18"/>
                <w:szCs w:val="18"/>
              </w:rPr>
              <w:t xml:space="preserve">SIP Forum </w:t>
            </w:r>
          </w:p>
          <w:p w14:paraId="287EF0E5" w14:textId="77777777" w:rsidR="00BD4BD4" w:rsidRPr="001F2162" w:rsidRDefault="00BD4BD4" w:rsidP="00F17692">
            <w:pPr>
              <w:rPr>
                <w:sz w:val="18"/>
                <w:szCs w:val="18"/>
              </w:rPr>
            </w:pPr>
          </w:p>
        </w:tc>
      </w:tr>
    </w:tbl>
    <w:p w14:paraId="0C22ADF7" w14:textId="77777777" w:rsidR="001F2162" w:rsidRDefault="001F2162" w:rsidP="001F2162"/>
    <w:p w14:paraId="29788C76" w14:textId="77777777" w:rsidR="001F2162" w:rsidRDefault="00B12142" w:rsidP="002B03E1">
      <w:pPr>
        <w:pStyle w:val="Heading1"/>
      </w:pPr>
      <w:r>
        <w:t>Principles</w:t>
      </w:r>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CC0837">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04DC80E4" w:rsidR="00F649C4" w:rsidRDefault="00F649C4" w:rsidP="00F649C4">
      <w:pPr>
        <w:pStyle w:val="ListParagraph"/>
        <w:numPr>
          <w:ilvl w:val="0"/>
          <w:numId w:val="30"/>
        </w:numPr>
      </w:pPr>
      <w:r>
        <w:t xml:space="preserve">Any enhancements 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rsidP="009D27BA">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F55887">
      <w:pPr>
        <w:pStyle w:val="ListParagraph"/>
        <w:numPr>
          <w:ilvl w:val="0"/>
          <w:numId w:val="30"/>
        </w:numPr>
        <w:autoSpaceDE w:val="0"/>
        <w:autoSpaceDN w:val="0"/>
        <w:adjustRightInd w:val="0"/>
        <w:spacing w:before="0" w:after="0"/>
        <w:jc w:val="left"/>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803E2EB" w:rsidR="00C05CD4" w:rsidRDefault="00C05CD4" w:rsidP="00284C92">
      <w:pPr>
        <w:pStyle w:val="ListParagraph"/>
        <w:numPr>
          <w:ilvl w:val="0"/>
          <w:numId w:val="30"/>
        </w:numPr>
        <w:autoSpaceDE w:val="0"/>
        <w:autoSpaceDN w:val="0"/>
        <w:adjustRightInd w:val="0"/>
        <w:spacing w:before="0" w:after="0"/>
        <w:jc w:val="left"/>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 for industry traceback purposes</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0D923661"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 “proof of possession of a TN”.</w:t>
      </w:r>
      <w:r w:rsidR="00F55887">
        <w:t xml:space="preserve"> </w:t>
      </w:r>
    </w:p>
    <w:p w14:paraId="2092DD94" w14:textId="44C7CA02" w:rsidR="00C1188A" w:rsidRDefault="00F649C4" w:rsidP="00F649C4">
      <w:pPr>
        <w:pStyle w:val="ListParagraph"/>
        <w:numPr>
          <w:ilvl w:val="0"/>
          <w:numId w:val="30"/>
        </w:numPr>
        <w:autoSpaceDE w:val="0"/>
        <w:autoSpaceDN w:val="0"/>
        <w:adjustRightInd w:val="0"/>
        <w:spacing w:before="0" w:after="0"/>
        <w:jc w:val="left"/>
      </w:pPr>
      <w:r w:rsidRPr="001855FC">
        <w:t xml:space="preserve">TSPs verify the OSP is using </w:t>
      </w:r>
      <w:r w:rsidR="000F331E">
        <w:t>an STI-CA</w:t>
      </w:r>
      <w:r>
        <w:t xml:space="preserve"> approved </w:t>
      </w:r>
      <w:r w:rsidR="000F331E">
        <w:t>by the PA</w:t>
      </w:r>
      <w:r w:rsidR="00085F6B">
        <w:t>.</w:t>
      </w:r>
      <w:r>
        <w:t xml:space="preserve"> </w:t>
      </w:r>
    </w:p>
    <w:p w14:paraId="3D4B41FE" w14:textId="3F9D8A97" w:rsidR="00F649C4" w:rsidRDefault="00EC6A1C" w:rsidP="00F649C4">
      <w:pPr>
        <w:pStyle w:val="ListParagraph"/>
        <w:numPr>
          <w:ilvl w:val="0"/>
          <w:numId w:val="30"/>
        </w:numPr>
        <w:autoSpaceDE w:val="0"/>
        <w:autoSpaceDN w:val="0"/>
        <w:adjustRightInd w:val="0"/>
        <w:spacing w:before="0" w:after="0"/>
        <w:jc w:val="left"/>
      </w:pPr>
      <w:r w:rsidRPr="006C19AB">
        <w:t>For calls signed by an OSP, a T</w:t>
      </w:r>
      <w:r w:rsidR="00A57F65">
        <w:t>S</w:t>
      </w:r>
      <w:r w:rsidRPr="006C19AB">
        <w:t xml:space="preserve">P verification service should not require the calling TN to </w:t>
      </w:r>
      <w:r w:rsidR="002A299C">
        <w:t>be assigned to</w:t>
      </w:r>
      <w:r w:rsidRPr="006C19AB">
        <w:t xml:space="preserve"> the OSP in order to generate a </w:t>
      </w:r>
      <w:r w:rsidR="00AC32E3">
        <w:t xml:space="preserve">successful </w:t>
      </w:r>
      <w:r w:rsidRPr="006C19AB">
        <w:t xml:space="preserve">validation result. </w:t>
      </w:r>
    </w:p>
    <w:p w14:paraId="0B2F9534" w14:textId="77777777" w:rsidR="00A104ED" w:rsidRDefault="00A104ED" w:rsidP="00A104ED">
      <w:pPr>
        <w:autoSpaceDE w:val="0"/>
        <w:autoSpaceDN w:val="0"/>
        <w:adjustRightInd w:val="0"/>
        <w:spacing w:before="0" w:after="0"/>
        <w:jc w:val="left"/>
      </w:pPr>
    </w:p>
    <w:p w14:paraId="3B7B9CE5" w14:textId="7777777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549B6D49" w14:textId="77777777" w:rsidR="00276AC2" w:rsidRDefault="00276AC2" w:rsidP="002B03E1">
      <w:pPr>
        <w:pStyle w:val="Heading1"/>
      </w:pPr>
      <w:r>
        <w:t xml:space="preserve">Use Cases </w:t>
      </w:r>
      <w:r w:rsidR="004E13AB">
        <w:t>Scenarios</w:t>
      </w:r>
    </w:p>
    <w:p w14:paraId="69BC71BE" w14:textId="68E5E5C1" w:rsidR="00276AC2" w:rsidRDefault="00810FD5" w:rsidP="00276AC2">
      <w:pPr>
        <w:spacing w:before="0" w:after="0"/>
        <w:jc w:val="left"/>
      </w:pPr>
      <w:r>
        <w:t>The Use Cases</w:t>
      </w:r>
      <w:r w:rsidR="00283C92">
        <w:t xml:space="preserve">, detailed in Section </w:t>
      </w:r>
      <w:r w:rsidR="00402B68">
        <w:t>7</w:t>
      </w:r>
      <w:r w:rsidR="002B37A0">
        <w:t>,</w:t>
      </w:r>
      <w:r>
        <w:t xml:space="preserve"> will include: </w:t>
      </w:r>
    </w:p>
    <w:p w14:paraId="7D647942" w14:textId="77777777" w:rsidR="00CA1404" w:rsidRDefault="00CA1404" w:rsidP="00CA1404">
      <w:pPr>
        <w:numPr>
          <w:ilvl w:val="0"/>
          <w:numId w:val="29"/>
        </w:numPr>
        <w:spacing w:before="0" w:after="0"/>
        <w:jc w:val="left"/>
      </w:pPr>
      <w:r>
        <w:t xml:space="preserve">Multi-homed </w:t>
      </w:r>
      <w:r w:rsidRPr="00810FD5">
        <w:t>Enterprise PBX</w:t>
      </w:r>
    </w:p>
    <w:p w14:paraId="128CE71E" w14:textId="77777777" w:rsidR="00CA1404" w:rsidRDefault="00CA1404" w:rsidP="00CA1404">
      <w:pPr>
        <w:numPr>
          <w:ilvl w:val="0"/>
          <w:numId w:val="29"/>
        </w:numPr>
        <w:spacing w:before="0" w:after="0"/>
        <w:jc w:val="left"/>
      </w:pPr>
      <w:r w:rsidRPr="00810FD5">
        <w:t>OTT-PSTN interconnect</w:t>
      </w:r>
    </w:p>
    <w:p w14:paraId="428B3367" w14:textId="77777777" w:rsidR="00737358" w:rsidRDefault="00737358" w:rsidP="00810FD5">
      <w:pPr>
        <w:numPr>
          <w:ilvl w:val="0"/>
          <w:numId w:val="29"/>
        </w:numPr>
        <w:spacing w:before="0" w:after="0"/>
        <w:jc w:val="left"/>
      </w:pPr>
      <w:r>
        <w:t>Toll-Free originations</w:t>
      </w:r>
    </w:p>
    <w:p w14:paraId="713FD786" w14:textId="77777777" w:rsidR="00D22AA9" w:rsidRDefault="00D22AA9" w:rsidP="00810FD5">
      <w:pPr>
        <w:numPr>
          <w:ilvl w:val="0"/>
          <w:numId w:val="29"/>
        </w:numPr>
        <w:spacing w:before="0" w:after="0"/>
        <w:jc w:val="left"/>
      </w:pPr>
      <w:r>
        <w:t>Government</w:t>
      </w:r>
    </w:p>
    <w:p w14:paraId="393C191B" w14:textId="77777777" w:rsidR="00F649C4" w:rsidRDefault="00F649C4" w:rsidP="00737358">
      <w:pPr>
        <w:numPr>
          <w:ilvl w:val="0"/>
          <w:numId w:val="29"/>
        </w:numPr>
        <w:spacing w:before="0" w:after="0"/>
        <w:jc w:val="left"/>
      </w:pPr>
      <w:r>
        <w:t>Multi-tenant hosted/cloud PBX</w:t>
      </w:r>
    </w:p>
    <w:p w14:paraId="519BEA2A" w14:textId="77777777" w:rsidR="006C2096" w:rsidRDefault="006C2096" w:rsidP="00737358">
      <w:pPr>
        <w:numPr>
          <w:ilvl w:val="0"/>
          <w:numId w:val="29"/>
        </w:numPr>
        <w:spacing w:before="0" w:after="0"/>
        <w:jc w:val="left"/>
      </w:pPr>
      <w:r>
        <w:t xml:space="preserve">Unified Communications </w:t>
      </w:r>
    </w:p>
    <w:p w14:paraId="6573206D" w14:textId="77777777" w:rsidR="006C2096" w:rsidRPr="00810FD5" w:rsidRDefault="006C2096" w:rsidP="00737358">
      <w:pPr>
        <w:numPr>
          <w:ilvl w:val="0"/>
          <w:numId w:val="29"/>
        </w:numPr>
        <w:spacing w:before="0" w:after="0"/>
        <w:jc w:val="left"/>
      </w:pPr>
      <w:r>
        <w:t>Contact Centers</w:t>
      </w:r>
    </w:p>
    <w:p w14:paraId="5347E43C" w14:textId="77777777" w:rsidR="00BF1EFD" w:rsidRPr="00810FD5" w:rsidRDefault="00737358" w:rsidP="00810FD5">
      <w:pPr>
        <w:numPr>
          <w:ilvl w:val="0"/>
          <w:numId w:val="29"/>
        </w:numPr>
        <w:spacing w:before="0" w:after="0"/>
        <w:jc w:val="left"/>
      </w:pPr>
      <w:r>
        <w:t xml:space="preserve">VoIP </w:t>
      </w:r>
    </w:p>
    <w:p w14:paraId="41C76944" w14:textId="77777777" w:rsidR="00810FD5" w:rsidRDefault="00810FD5" w:rsidP="002D480D">
      <w:pPr>
        <w:spacing w:before="0" w:after="0"/>
        <w:jc w:val="left"/>
      </w:pPr>
    </w:p>
    <w:p w14:paraId="1A1E407B" w14:textId="77777777"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159C5BF1" w14:textId="77777777" w:rsidR="00276AC2" w:rsidRDefault="00276AC2" w:rsidP="00276AC2">
      <w:pPr>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r>
        <w:lastRenderedPageBreak/>
        <w:t>Use Case Flows</w:t>
      </w:r>
      <w:r w:rsidR="004E13AB">
        <w:t xml:space="preserve"> </w:t>
      </w:r>
    </w:p>
    <w:p w14:paraId="5EEF3FBA" w14:textId="71F19BE1" w:rsidR="00D2664A" w:rsidRDefault="003E7EF6" w:rsidP="00276AC2">
      <w:pPr>
        <w:spacing w:before="0" w:after="0"/>
        <w:jc w:val="left"/>
      </w:pPr>
      <w:r>
        <w:t xml:space="preserve">The following Use Cases define the problem where in the SHAKEN ecosystem the Originating 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1B6CA16F" w14:textId="77777777" w:rsidR="003E7EF6" w:rsidRDefault="003E7EF6" w:rsidP="00276AC2">
      <w:pPr>
        <w:spacing w:before="0" w:after="0"/>
        <w:jc w:val="left"/>
      </w:pPr>
    </w:p>
    <w:p w14:paraId="3179D127" w14:textId="2817EC71"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the problem.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14:paraId="6EE76117" w14:textId="44573BC4" w:rsidR="00D247F3"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3D84A897" w14:textId="77777777" w:rsidR="00AA76DF" w:rsidRDefault="00AA76DF" w:rsidP="00D247F3"/>
    <w:p w14:paraId="25447ECD" w14:textId="77777777" w:rsidR="00AC1DE8" w:rsidRDefault="00AC1DE8" w:rsidP="00D247F3"/>
    <w:p w14:paraId="4FC13F0F" w14:textId="2DF00E37" w:rsidR="00AC1DE8" w:rsidRDefault="00AC1DE8" w:rsidP="00D247F3"/>
    <w:p w14:paraId="1FE2B2C4" w14:textId="64A8E46E" w:rsidR="002A299C" w:rsidRDefault="002A299C" w:rsidP="00D247F3">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65170"/>
                    </a:xfrm>
                    <a:prstGeom prst="rect">
                      <a:avLst/>
                    </a:prstGeom>
                  </pic:spPr>
                </pic:pic>
              </a:graphicData>
            </a:graphic>
          </wp:inline>
        </w:drawing>
      </w:r>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D247F3">
      <w:pPr>
        <w:numPr>
          <w:ilvl w:val="0"/>
          <w:numId w:val="34"/>
        </w:numPr>
      </w:pPr>
      <w:r w:rsidRPr="00201D24">
        <w:t xml:space="preserve">The PASSporT is signed using an STI-Certificate with a </w:t>
      </w:r>
      <w:r w:rsidR="00AC32E3" w:rsidRPr="00721D7F">
        <w:t>TNAuthList</w:t>
      </w:r>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4927C6D6" w14:textId="591BC481" w:rsidR="002A299C" w:rsidRDefault="00FF401D" w:rsidP="00D247F3">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244850"/>
                    </a:xfrm>
                    <a:prstGeom prst="rect">
                      <a:avLst/>
                    </a:prstGeom>
                  </pic:spPr>
                </pic:pic>
              </a:graphicData>
            </a:graphic>
          </wp:inline>
        </w:drawing>
      </w:r>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r>
        <w:t xml:space="preserve">Use Case </w:t>
      </w:r>
      <w:r w:rsidR="00321629">
        <w:t>3</w:t>
      </w:r>
      <w:r>
        <w:t xml:space="preserve"> – </w:t>
      </w:r>
      <w:r w:rsidR="00402B68">
        <w:t xml:space="preserve">Call </w:t>
      </w:r>
      <w:r w:rsidR="003C473B">
        <w:t xml:space="preserve">Centers, BYON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1D442606" w:rsidR="008C7F58" w:rsidRDefault="008C7F58" w:rsidP="00276AC2">
      <w:pPr>
        <w:spacing w:before="0" w:after="0"/>
        <w:jc w:val="left"/>
      </w:pPr>
    </w:p>
    <w:p w14:paraId="0CDCB6E3" w14:textId="16BD38F4" w:rsidR="00EB2AB8" w:rsidRDefault="00EB2AB8" w:rsidP="00276AC2">
      <w:pPr>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44850"/>
                    </a:xfrm>
                    <a:prstGeom prst="rect">
                      <a:avLst/>
                    </a:prstGeom>
                  </pic:spPr>
                </pic:pic>
              </a:graphicData>
            </a:graphic>
          </wp:inline>
        </w:drawing>
      </w:r>
    </w:p>
    <w:p w14:paraId="40E48AA5" w14:textId="77777777" w:rsidR="00EB2AB8" w:rsidRDefault="00EB2AB8" w:rsidP="00276AC2">
      <w:pPr>
        <w:spacing w:before="0" w:after="0"/>
        <w:jc w:val="left"/>
      </w:pPr>
    </w:p>
    <w:p w14:paraId="432C2086" w14:textId="63830D70" w:rsidR="00AB4FB7" w:rsidRDefault="00AB4FB7" w:rsidP="00276AC2">
      <w:pPr>
        <w:spacing w:before="0" w:after="0"/>
        <w:jc w:val="left"/>
      </w:pPr>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r>
        <w:t xml:space="preserve">Use Case </w:t>
      </w:r>
      <w:r w:rsidR="00AB0C81">
        <w:t>4</w:t>
      </w:r>
      <w:r>
        <w:t xml:space="preserve"> – </w:t>
      </w:r>
      <w:r>
        <w:rPr>
          <w:bCs/>
        </w:rPr>
        <w:t>Toll Free Originations (On Premise PBX, Hosted/Cloud Platform)</w:t>
      </w:r>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5EF7EB42" w14:textId="2B852D15" w:rsidR="00EB2AB8" w:rsidRDefault="0024435C" w:rsidP="008C7F58">
      <w:r w:rsidRPr="0024435C">
        <w:rPr>
          <w:noProof/>
        </w:rPr>
        <w:drawing>
          <wp:inline distT="0" distB="0" distL="0" distR="0" wp14:anchorId="2F1F4AAF" wp14:editId="7CE904C5">
            <wp:extent cx="6400800" cy="3225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25165"/>
                    </a:xfrm>
                    <a:prstGeom prst="rect">
                      <a:avLst/>
                    </a:prstGeom>
                  </pic:spPr>
                </pic:pic>
              </a:graphicData>
            </a:graphic>
          </wp:inline>
        </w:drawing>
      </w:r>
    </w:p>
    <w:p w14:paraId="66526712" w14:textId="77777777" w:rsidR="00EB2AB8" w:rsidRDefault="00EB2AB8" w:rsidP="008C7F58"/>
    <w:p w14:paraId="1EEEDD27" w14:textId="77777777" w:rsidR="008C7F58" w:rsidRDefault="008C7F58" w:rsidP="008C7F58"/>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rsidP="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rsidP="008C7F58">
      <w:pPr>
        <w:numPr>
          <w:ilvl w:val="0"/>
          <w:numId w:val="35"/>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62126260" w14:textId="035C1D9F"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 xml:space="preserve">Calling TN is authorized to the customer and </w:t>
      </w:r>
      <w:r w:rsidR="008C195F">
        <w:t xml:space="preserve">would set </w:t>
      </w:r>
      <w:r w:rsidR="003B15C3">
        <w:t xml:space="preserve">the </w:t>
      </w:r>
      <w:r w:rsidR="008C195F">
        <w:t>Attestation as</w:t>
      </w:r>
      <w:r w:rsidR="003E6628">
        <w:t>”</w:t>
      </w:r>
      <w:r w:rsidR="008C195F">
        <w:t xml:space="preserve"> B</w:t>
      </w:r>
      <w:r w:rsidR="003E6628">
        <w:t>”</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r w:rsidRPr="00A25E19">
        <w:lastRenderedPageBreak/>
        <w:t>Summary</w:t>
      </w:r>
    </w:p>
    <w:p w14:paraId="7373D1D7" w14:textId="74AE7104" w:rsidR="006B7363" w:rsidRDefault="006B7363" w:rsidP="006B7363">
      <w:pPr>
        <w:autoSpaceDE w:val="0"/>
        <w:autoSpaceDN w:val="0"/>
        <w:adjustRightInd w:val="0"/>
        <w:spacing w:before="0" w:after="0"/>
        <w:jc w:val="left"/>
      </w:pPr>
      <w:r>
        <w:rPr>
          <w:rFonts w:cs="Arial"/>
        </w:rPr>
        <w:t>SHAKEN has been defined as a framework that utilizes protocols defined in the IETF Secure Telephone Identity Revisited (STIR) Working Group that work together in an end-to-end architecture to provide traceability of calls to the originating service provider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7486C84E" w:rsidR="00C84A1B" w:rsidRDefault="006B7363" w:rsidP="00D94A0C">
      <w:pPr>
        <w:autoSpaceDE w:val="0"/>
        <w:autoSpaceDN w:val="0"/>
        <w:adjustRightInd w:val="0"/>
        <w:spacing w:before="0" w:after="0"/>
        <w:jc w:val="left"/>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0B339902" w:rsidR="00C84A1B" w:rsidRDefault="002D7DC4" w:rsidP="00D94A0C">
      <w:pPr>
        <w:autoSpaceDE w:val="0"/>
        <w:autoSpaceDN w:val="0"/>
        <w:adjustRightInd w:val="0"/>
        <w:spacing w:before="0" w:after="0"/>
        <w:jc w:val="left"/>
      </w:pPr>
      <w:r>
        <w:t xml:space="preserve">The three 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The three approaches are</w:t>
      </w:r>
      <w:r w:rsidR="00C84A1B">
        <w:t xml:space="preserve"> 1) Delegated Certificates, 2) </w:t>
      </w:r>
      <w:r w:rsidR="00D46712">
        <w:t>Extended Validation (</w:t>
      </w:r>
      <w:r w:rsidR="00C84A1B">
        <w:t>EV</w:t>
      </w:r>
      <w:r w:rsidR="00D46712">
        <w:t>)</w:t>
      </w:r>
      <w:r w:rsidR="00C84A1B">
        <w:t xml:space="preserve"> Certificates with TN Letter of Authorization (LOA) and 3) Central Database</w:t>
      </w:r>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r w:rsidR="001F18F2">
        <w:t>It should be noted that these approaches are not mutually exclusive and more than one approach can be implemented without impacting the other(s).</w:t>
      </w:r>
    </w:p>
    <w:p w14:paraId="50E37595" w14:textId="77777777" w:rsidR="00C84A1B" w:rsidRDefault="00C84A1B" w:rsidP="00D94A0C">
      <w:pPr>
        <w:autoSpaceDE w:val="0"/>
        <w:autoSpaceDN w:val="0"/>
        <w:adjustRightInd w:val="0"/>
        <w:spacing w:before="0" w:after="0"/>
        <w:jc w:val="left"/>
      </w:pPr>
    </w:p>
    <w:p w14:paraId="5FCC89FC" w14:textId="71BF4D5F" w:rsidR="00E30CB7" w:rsidRDefault="00B25478" w:rsidP="006B7363">
      <w:r>
        <w:t xml:space="preserve">As shown </w:t>
      </w:r>
      <w:r w:rsidR="009D5A6B">
        <w:t xml:space="preserve">in the Solution Comparison Matrix in Table A.1, all three 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three 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4FB51814" w:rsidR="004B264F" w:rsidRDefault="00387F73" w:rsidP="00E30CB7">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6B3F5889" w:rsidR="002B03E1" w:rsidRPr="002B03E1" w:rsidRDefault="00E54AA7" w:rsidP="002B03E1">
      <w:pPr>
        <w:spacing w:before="0" w:after="0"/>
        <w:jc w:val="left"/>
        <w:rPr>
          <w:rFonts w:ascii="Calibri" w:hAnsi="Calibri"/>
          <w:color w:val="1F497D"/>
        </w:rPr>
      </w:pPr>
      <w:r>
        <w:t>This report recommends that the industry consider all three mechanisms as viable and a matter of Originating Service Provider local policy when determining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14:paraId="3F20077D" w14:textId="77777777" w:rsidR="001F2162" w:rsidRDefault="001F2162" w:rsidP="00CE641C">
      <w:pPr>
        <w:spacing w:before="0" w:after="0"/>
        <w:jc w:val="center"/>
      </w:pPr>
      <w:r>
        <w:lastRenderedPageBreak/>
        <w:t>(normative/informative)</w:t>
      </w:r>
    </w:p>
    <w:p w14:paraId="4ACC257E" w14:textId="77777777" w:rsidR="001F2162" w:rsidRDefault="001F2162" w:rsidP="001F2162">
      <w:pPr>
        <w:spacing w:before="0" w:after="0"/>
        <w:jc w:val="center"/>
      </w:pPr>
    </w:p>
    <w:p w14:paraId="14C73FDF" w14:textId="4846C3EC" w:rsidR="001F2162" w:rsidRDefault="00D46712" w:rsidP="002B03E1">
      <w:pPr>
        <w:pStyle w:val="Heading1"/>
        <w:numPr>
          <w:ilvl w:val="0"/>
          <w:numId w:val="0"/>
        </w:numPr>
      </w:pPr>
      <w:r>
        <w:t xml:space="preserve">Annex </w:t>
      </w:r>
      <w:r w:rsidR="001F2162">
        <w:t>A</w:t>
      </w:r>
      <w:r w:rsidR="001F2162">
        <w:tab/>
      </w:r>
      <w:r w:rsidR="003C473B">
        <w:t>Mechanisms to Address Use Cases</w:t>
      </w:r>
    </w:p>
    <w:p w14:paraId="3AEA1379" w14:textId="77777777"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14:paraId="40F9CB0B" w14:textId="77777777" w:rsidR="009920E1" w:rsidRDefault="009920E1" w:rsidP="009920E1">
      <w:pPr>
        <w:spacing w:before="0" w:after="0"/>
        <w:jc w:val="left"/>
      </w:pPr>
    </w:p>
    <w:p w14:paraId="49EF46C7" w14:textId="443347B4" w:rsidR="0047481C"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3CE2B94F" w14:textId="2064ABC4" w:rsidR="0047481C" w:rsidRPr="0047481C" w:rsidRDefault="0060335F" w:rsidP="0047481C">
      <w:pPr>
        <w:spacing w:before="0" w:after="0"/>
        <w:jc w:val="left"/>
        <w:rPr>
          <w:b/>
        </w:rPr>
      </w:pPr>
      <w:r>
        <w:rPr>
          <w:b/>
        </w:rPr>
        <w:t xml:space="preserve">A.1 </w:t>
      </w:r>
      <w:r w:rsidR="00BC0AEA" w:rsidRPr="00BC0AEA">
        <w:rPr>
          <w:b/>
        </w:rPr>
        <w:t>Delegated</w:t>
      </w:r>
      <w:r w:rsidR="00F6118D">
        <w:t xml:space="preserve"> </w:t>
      </w:r>
      <w:r w:rsidR="0047481C" w:rsidRPr="0047481C">
        <w:rPr>
          <w:b/>
        </w:rPr>
        <w:t>Certificates</w:t>
      </w:r>
    </w:p>
    <w:p w14:paraId="4A150461" w14:textId="61CE855F" w:rsidR="004F7915" w:rsidRDefault="0047481C" w:rsidP="0047481C">
      <w:pPr>
        <w:spacing w:before="100" w:beforeAutospacing="1" w:after="100" w:afterAutospacing="1"/>
      </w:pPr>
      <w:r>
        <w:t xml:space="preserve">Three </w:t>
      </w:r>
      <w:r w:rsidR="00406900">
        <w:t>sub-options</w:t>
      </w:r>
      <w:r>
        <w:t xml:space="preserve"> have been presented for passing vetted enterprise call origination information in the SIP signaling flow to enable an originating service provider (OSP) to assign A-level attestation to enterprise originated calls.  The three solutions include; (1) Delegated Certificates; (2) Lemon Twist; and (3) Enterprise Certificates.  </w:t>
      </w:r>
    </w:p>
    <w:p w14:paraId="60EBDB59" w14:textId="40A04CB8" w:rsidR="0047481C" w:rsidRDefault="0047481C" w:rsidP="0047481C">
      <w:pPr>
        <w:spacing w:before="100" w:beforeAutospacing="1" w:after="100" w:afterAutospacing="1"/>
      </w:pPr>
      <w:r>
        <w:t xml:space="preserve">The three solutions all extend the baseline SHAKEN framework to allow for an </w:t>
      </w:r>
      <w:r w:rsidR="00270211">
        <w:t>additional</w:t>
      </w:r>
      <w:r>
        <w:t xml:space="preserve"> </w:t>
      </w:r>
      <w:r w:rsidR="00097943">
        <w:t>SIP I</w:t>
      </w:r>
      <w:r>
        <w:t>dentity</w:t>
      </w:r>
      <w:r w:rsidR="00D46712">
        <w:t xml:space="preserve"> </w:t>
      </w:r>
      <w:r>
        <w:t xml:space="preserve">header </w:t>
      </w:r>
      <w:r w:rsidR="00270211">
        <w:t xml:space="preserve">field </w:t>
      </w:r>
      <w:r w:rsidR="00097943">
        <w:t xml:space="preserve">added by the enterprise </w:t>
      </w:r>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w:t>
      </w:r>
      <w:r w:rsidR="00721D7F">
        <w:t>ion models are nearly identical.</w:t>
      </w:r>
    </w:p>
    <w:p w14:paraId="52E9D7F1" w14:textId="054F3B8E" w:rsidR="00ED5ADC" w:rsidRPr="00ED5ADC" w:rsidRDefault="00ED5ADC" w:rsidP="0047481C">
      <w:pPr>
        <w:spacing w:before="100" w:beforeAutospacing="1" w:after="100" w:afterAutospacing="1"/>
      </w:pPr>
      <w:r>
        <w:rPr>
          <w:rFonts w:cs="Arial"/>
        </w:rPr>
        <w:t>The above description presumes a</w:t>
      </w:r>
      <w:r w:rsidR="00097943">
        <w:rPr>
          <w:rFonts w:cs="Arial"/>
        </w:rPr>
        <w:t>n enterprise originated</w:t>
      </w:r>
      <w:r>
        <w:rPr>
          <w:rFonts w:cs="Arial"/>
        </w:rPr>
        <w:t xml:space="preserve"> certificate has been previously created and assigned to the business entity. There will be a need to manage the assignment of these end user delegated certificates and other lifecycle processes, including a namespace for unique certificate extended subject names for the upstream enterprises.</w:t>
      </w:r>
    </w:p>
    <w:p w14:paraId="534AC264"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rPr>
        <w:t>-</w:t>
      </w:r>
      <w:r>
        <w:rPr>
          <w:sz w:val="14"/>
          <w:szCs w:val="14"/>
        </w:rPr>
        <w:t xml:space="preserve">       </w:t>
      </w: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2F28E819"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Vetted enterprise (or trusted vendor) adds a signed SIP Identity </w:t>
      </w:r>
      <w:r w:rsidR="00D9596F">
        <w:rPr>
          <w:rFonts w:ascii="Arial" w:hAnsi="Arial" w:cs="Arial"/>
          <w:sz w:val="20"/>
          <w:szCs w:val="20"/>
        </w:rPr>
        <w:t>h</w:t>
      </w:r>
      <w:r w:rsidRPr="00EA3EC9">
        <w:rPr>
          <w:rFonts w:ascii="Arial" w:hAnsi="Arial" w:cs="Arial"/>
          <w:sz w:val="20"/>
          <w:szCs w:val="20"/>
        </w:rPr>
        <w:t>eader</w:t>
      </w:r>
      <w:r w:rsidR="00FE3775">
        <w:rPr>
          <w:rFonts w:ascii="Arial" w:hAnsi="Arial" w:cs="Arial"/>
          <w:sz w:val="20"/>
          <w:szCs w:val="20"/>
        </w:rPr>
        <w:t xml:space="preserve"> or a field</w:t>
      </w:r>
      <w:r w:rsidR="00D46712">
        <w:rPr>
          <w:rFonts w:ascii="Arial" w:hAnsi="Arial" w:cs="Arial"/>
          <w:sz w:val="20"/>
          <w:szCs w:val="20"/>
        </w:rPr>
        <w:t>, optionally</w:t>
      </w:r>
      <w:r w:rsidRPr="00EA3EC9">
        <w:rPr>
          <w:rFonts w:ascii="Arial" w:hAnsi="Arial" w:cs="Arial"/>
          <w:sz w:val="20"/>
          <w:szCs w:val="20"/>
        </w:rPr>
        <w:t xml:space="preserve"> with a Rich Call Data PASS</w:t>
      </w:r>
      <w:r w:rsidR="00D46712">
        <w:rPr>
          <w:rFonts w:ascii="Arial" w:hAnsi="Arial" w:cs="Arial"/>
          <w:sz w:val="20"/>
          <w:szCs w:val="20"/>
        </w:rPr>
        <w:t>p</w:t>
      </w:r>
      <w:r w:rsidRPr="00EA3EC9">
        <w:rPr>
          <w:rFonts w:ascii="Arial" w:hAnsi="Arial" w:cs="Arial"/>
          <w:sz w:val="20"/>
          <w:szCs w:val="20"/>
        </w:rPr>
        <w:t>orT using the enterprise SHAKEN certificate.</w:t>
      </w:r>
    </w:p>
    <w:p w14:paraId="6E4FEBB7"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OSP evaluates the enterprise information and uses local policy to determine if the signed information is trustworthy when attesting to the call.  </w:t>
      </w:r>
    </w:p>
    <w:p w14:paraId="0B12D02F" w14:textId="3B9A5D64"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If the origin of the call is trusted, the OSP follows normal SHAKEN </w:t>
      </w:r>
      <w:r w:rsidR="00D46712">
        <w:rPr>
          <w:rFonts w:ascii="Arial" w:hAnsi="Arial" w:cs="Arial"/>
          <w:sz w:val="20"/>
          <w:szCs w:val="20"/>
        </w:rPr>
        <w:t>procedures</w:t>
      </w:r>
      <w:r w:rsidR="00D46712" w:rsidRPr="00EA3EC9">
        <w:rPr>
          <w:rFonts w:ascii="Arial" w:hAnsi="Arial" w:cs="Arial"/>
          <w:sz w:val="20"/>
          <w:szCs w:val="20"/>
        </w:rPr>
        <w:t xml:space="preserve"> </w:t>
      </w:r>
      <w:r w:rsidRPr="00EA3EC9">
        <w:rPr>
          <w:rFonts w:ascii="Arial" w:hAnsi="Arial" w:cs="Arial"/>
          <w:sz w:val="20"/>
          <w:szCs w:val="20"/>
        </w:rPr>
        <w:t xml:space="preserve">and generates a signed Identity </w:t>
      </w:r>
      <w:r w:rsidR="00D9596F">
        <w:rPr>
          <w:rFonts w:ascii="Arial" w:hAnsi="Arial" w:cs="Arial"/>
          <w:sz w:val="20"/>
          <w:szCs w:val="20"/>
        </w:rPr>
        <w:t>h</w:t>
      </w:r>
      <w:r w:rsidRPr="00EA3EC9">
        <w:rPr>
          <w:rFonts w:ascii="Arial" w:hAnsi="Arial" w:cs="Arial"/>
          <w:sz w:val="20"/>
          <w:szCs w:val="20"/>
        </w:rPr>
        <w:t>eader with a SHAKEN PASS</w:t>
      </w:r>
      <w:r w:rsidR="00D46712">
        <w:rPr>
          <w:rFonts w:ascii="Arial" w:hAnsi="Arial" w:cs="Arial"/>
          <w:sz w:val="20"/>
          <w:szCs w:val="20"/>
        </w:rPr>
        <w:t>p</w:t>
      </w:r>
      <w:r w:rsidRPr="00EA3EC9">
        <w:rPr>
          <w:rFonts w:ascii="Arial" w:hAnsi="Arial" w:cs="Arial"/>
          <w:sz w:val="20"/>
          <w:szCs w:val="20"/>
        </w:rPr>
        <w:t xml:space="preserve">orT giving the call A-level attestation. </w:t>
      </w:r>
    </w:p>
    <w:p w14:paraId="6BC9428F" w14:textId="0D858956"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enterprise Identity </w:t>
      </w:r>
      <w:r w:rsidR="00D9596F">
        <w:rPr>
          <w:rFonts w:ascii="Arial" w:hAnsi="Arial" w:cs="Arial"/>
          <w:sz w:val="20"/>
          <w:szCs w:val="20"/>
        </w:rPr>
        <w:t>h</w:t>
      </w:r>
      <w:r w:rsidRPr="00EA3EC9">
        <w:rPr>
          <w:rFonts w:ascii="Arial" w:hAnsi="Arial" w:cs="Arial"/>
          <w:sz w:val="20"/>
          <w:szCs w:val="20"/>
        </w:rPr>
        <w:t xml:space="preserve">eader </w:t>
      </w:r>
      <w:r w:rsidR="00270211">
        <w:rPr>
          <w:rFonts w:ascii="Arial" w:hAnsi="Arial" w:cs="Arial"/>
          <w:sz w:val="20"/>
          <w:szCs w:val="20"/>
        </w:rPr>
        <w:t xml:space="preserve">field </w:t>
      </w:r>
      <w:r w:rsidRPr="00EA3EC9">
        <w:rPr>
          <w:rFonts w:ascii="Arial" w:hAnsi="Arial" w:cs="Arial"/>
          <w:sz w:val="20"/>
          <w:szCs w:val="20"/>
        </w:rPr>
        <w:t xml:space="preserve">and the OSP Identity </w:t>
      </w:r>
      <w:r w:rsidR="00D9596F">
        <w:rPr>
          <w:rFonts w:ascii="Arial" w:hAnsi="Arial" w:cs="Arial"/>
          <w:sz w:val="20"/>
          <w:szCs w:val="20"/>
        </w:rPr>
        <w:t>h</w:t>
      </w:r>
      <w:r w:rsidRPr="00EA3EC9">
        <w:rPr>
          <w:rFonts w:ascii="Arial" w:hAnsi="Arial" w:cs="Arial"/>
          <w:sz w:val="20"/>
          <w:szCs w:val="20"/>
        </w:rPr>
        <w:t xml:space="preserve">eader </w:t>
      </w:r>
      <w:r w:rsidR="00FE3775">
        <w:rPr>
          <w:rFonts w:ascii="Arial" w:hAnsi="Arial" w:cs="Arial"/>
          <w:sz w:val="20"/>
          <w:szCs w:val="20"/>
        </w:rPr>
        <w:t xml:space="preserve">or a field </w:t>
      </w:r>
      <w:r w:rsidRPr="00EA3EC9">
        <w:rPr>
          <w:rFonts w:ascii="Arial" w:hAnsi="Arial" w:cs="Arial"/>
          <w:sz w:val="20"/>
          <w:szCs w:val="20"/>
        </w:rPr>
        <w:t xml:space="preserve">are passed through to the terminating service provider (TSP).  </w:t>
      </w:r>
    </w:p>
    <w:p w14:paraId="17BE7E83" w14:textId="0CA58A5C" w:rsidR="00406900" w:rsidRPr="00EA3EC9" w:rsidRDefault="00406900"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sz w:val="20"/>
          <w:szCs w:val="20"/>
        </w:rPr>
        <w:t>-      The information in the OSP Identity header is used by the terminating service provider analytics and call validation treatment functions when presenting the inbound call to the subscriber</w:t>
      </w:r>
      <w:r w:rsidR="00FF401D">
        <w:rPr>
          <w:rFonts w:ascii="Arial" w:hAnsi="Arial" w:cs="Arial"/>
          <w:sz w:val="20"/>
          <w:szCs w:val="20"/>
        </w:rPr>
        <w:t>.</w:t>
      </w:r>
    </w:p>
    <w:p w14:paraId="230B5D97" w14:textId="56F25CC4"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additional information included with the enterprise Identity </w:t>
      </w:r>
      <w:r w:rsidR="00D9596F">
        <w:rPr>
          <w:rFonts w:ascii="Arial" w:hAnsi="Arial" w:cs="Arial"/>
          <w:sz w:val="20"/>
          <w:szCs w:val="20"/>
        </w:rPr>
        <w:t>h</w:t>
      </w:r>
      <w:r w:rsidRPr="00EA3EC9">
        <w:rPr>
          <w:rFonts w:ascii="Arial" w:hAnsi="Arial" w:cs="Arial"/>
          <w:sz w:val="20"/>
          <w:szCs w:val="20"/>
        </w:rPr>
        <w:t>eader</w:t>
      </w:r>
      <w:r w:rsidR="00270211">
        <w:rPr>
          <w:rFonts w:ascii="Arial" w:hAnsi="Arial" w:cs="Arial"/>
          <w:sz w:val="20"/>
          <w:szCs w:val="20"/>
        </w:rPr>
        <w:t xml:space="preserve"> field</w:t>
      </w:r>
      <w:r w:rsidRPr="00EA3EC9">
        <w:rPr>
          <w:rFonts w:ascii="Arial" w:hAnsi="Arial" w:cs="Arial"/>
          <w:sz w:val="20"/>
          <w:szCs w:val="20"/>
        </w:rPr>
        <w:t xml:space="preserve"> is optionally used by the terminating service provider analytics and call validation treatment functions when presenting the inbound call to the subscriber.  </w:t>
      </w:r>
    </w:p>
    <w:p w14:paraId="0612243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result is a solution that fills the “enterprise call origination knowledge gap” using the same cryptographic standards and methods utilized in the baseline SHAKEN framework.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p>
    <w:p w14:paraId="0DD8E58B" w14:textId="737907DD" w:rsidR="0047481C" w:rsidRPr="00F24F00" w:rsidRDefault="009D29F8"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19"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54EAD059" w14:textId="39BBC9DE" w:rsidR="0047481C" w:rsidRPr="00602187" w:rsidRDefault="009D29F8"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0" w:history="1">
        <w:r w:rsidR="0047481C" w:rsidRPr="00F24F00">
          <w:rPr>
            <w:rFonts w:ascii="Arial" w:hAnsi="Arial" w:cs="Arial"/>
            <w:sz w:val="20"/>
            <w:szCs w:val="20"/>
          </w:rPr>
          <w:t>IPNNI-2019-00082R001</w:t>
        </w:r>
      </w:hyperlink>
      <w:r w:rsidR="00EB46C9">
        <w:rPr>
          <w:rFonts w:ascii="Arial" w:hAnsi="Arial" w:cs="Arial"/>
          <w:sz w:val="20"/>
          <w:szCs w:val="20"/>
        </w:rPr>
        <w:t xml:space="preserve"> – Delegated Certs</w:t>
      </w:r>
    </w:p>
    <w:p w14:paraId="4F47D1C7" w14:textId="70F3FEC4"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 xml:space="preserve">IPNNI- </w:t>
      </w:r>
      <w:r w:rsidR="000F331E">
        <w:rPr>
          <w:rFonts w:ascii="Arial" w:hAnsi="Arial" w:cs="Arial"/>
          <w:sz w:val="20"/>
          <w:szCs w:val="20"/>
        </w:rPr>
        <w:t>2020-00026R00</w:t>
      </w:r>
      <w:r w:rsidR="00EB46C9">
        <w:rPr>
          <w:rFonts w:ascii="Arial" w:hAnsi="Arial" w:cs="Arial"/>
          <w:sz w:val="20"/>
          <w:szCs w:val="20"/>
        </w:rPr>
        <w:t xml:space="preserve"> – Lemon Twist</w:t>
      </w:r>
    </w:p>
    <w:p w14:paraId="1147AB45" w14:textId="1779DB1E" w:rsidR="0047481C" w:rsidRPr="0047481C" w:rsidRDefault="001F46A3"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4926E9">
        <w:rPr>
          <w:rFonts w:ascii="Arial" w:hAnsi="Arial" w:cs="Arial"/>
          <w:sz w:val="20"/>
          <w:szCs w:val="20"/>
        </w:rPr>
        <w:t>IPNNI-2020-00022R003</w:t>
      </w:r>
      <w:r w:rsidR="00EB46C9">
        <w:rPr>
          <w:rFonts w:ascii="Arial" w:hAnsi="Arial" w:cs="Arial"/>
          <w:sz w:val="20"/>
          <w:szCs w:val="20"/>
        </w:rPr>
        <w:t>– Delegated Certs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bookmarkStart w:id="31" w:name="_GoBack"/>
      <w:bookmarkEnd w:id="31"/>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08352C" w:rsidRDefault="0060335F" w:rsidP="0008352C">
      <w:pPr>
        <w:rPr>
          <w:b/>
          <w:bCs/>
        </w:rPr>
      </w:pPr>
      <w:r>
        <w:rPr>
          <w:b/>
          <w:bCs/>
        </w:rPr>
        <w:t xml:space="preserve">A.2 </w:t>
      </w:r>
      <w:r w:rsidR="0008352C" w:rsidRPr="0008352C">
        <w:rPr>
          <w:b/>
          <w:bCs/>
        </w:rPr>
        <w:t>Determining SHAKEN Attestation Levels Using Enterprise-Level Credentials and Telephone Number Letter of Authorization Exchange</w:t>
      </w:r>
    </w:p>
    <w:p w14:paraId="651115B9" w14:textId="413F35ED" w:rsidR="0008352C" w:rsidRDefault="0008352C" w:rsidP="0008352C">
      <w:r>
        <w:t xml:space="preserve">When an originating service provider receives a call through a Customer interface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w:t>
      </w:r>
      <w:r w:rsidR="00721D7F">
        <w:t>Customer or the indirect entity</w:t>
      </w:r>
      <w:r>
        <w:t xml:space="preserve"> may have been assigned by a different </w:t>
      </w:r>
      <w:r w:rsidR="00D46712">
        <w:t>TNSP</w:t>
      </w:r>
      <w:r>
        <w:t xml:space="preserve"> and the entity utilizing the calling telephone number may have been delegated the use of </w:t>
      </w:r>
      <w:r w:rsidR="00FF401D">
        <w:t>the number by the entity the TN</w:t>
      </w:r>
      <w:r>
        <w:t xml:space="preserve">SP directly assigned the number to.  For example, an enterprise may delegate the use of some calling numbers to one or more outbound contact center contractors.  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 requires the exchange of identity and authorization information between the OSP and the various parties that can provide information sufficient to determine the authorization.  </w:t>
      </w:r>
      <w:r w:rsidRPr="008E774E">
        <w:t>Th</w:t>
      </w:r>
      <w:r>
        <w:t>is</w:t>
      </w:r>
      <w:r w:rsidRPr="008E774E">
        <w:t xml:space="preserve"> method</w:t>
      </w:r>
      <w:r>
        <w:t xml:space="preserve"> of attestation determination</w:t>
      </w:r>
      <w:r w:rsidRPr="008E774E">
        <w:t xml:space="preserve"> </w:t>
      </w:r>
      <w:r w:rsidR="00D46712">
        <w:t>proposes</w:t>
      </w:r>
      <w:r w:rsidR="00D46712" w:rsidRPr="008E774E">
        <w:t xml:space="preserve"> </w:t>
      </w:r>
      <w:r>
        <w:t>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TNLoA exchange.  The enterprise-level identity information is consumed by the customers and service providers involved in the TNLoA exchange and the attestation determination and do not need to be forwarded through the IP-based service provider network to the terminating party.</w:t>
      </w:r>
    </w:p>
    <w:p w14:paraId="5B7B52FD" w14:textId="77777777" w:rsidR="0047481C" w:rsidRDefault="0047481C" w:rsidP="0047481C">
      <w:pPr>
        <w:spacing w:before="0" w:after="0"/>
        <w:jc w:val="left"/>
      </w:pPr>
    </w:p>
    <w:p w14:paraId="252BAC9F" w14:textId="2F6C5176" w:rsidR="0047481C" w:rsidRPr="00721D7F" w:rsidRDefault="0047481C" w:rsidP="0047481C">
      <w:pPr>
        <w:spacing w:before="0" w:after="0"/>
        <w:jc w:val="left"/>
      </w:pPr>
      <w:r>
        <w:t xml:space="preserve">The details of this proposal </w:t>
      </w:r>
      <w:r w:rsidR="00402B68">
        <w:t xml:space="preserve">are </w:t>
      </w:r>
      <w:r>
        <w:t xml:space="preserve">contained in - </w:t>
      </w:r>
      <w:hyperlink r:id="rId21" w:history="1">
        <w:r w:rsidR="00F5660F" w:rsidRPr="00721D7F">
          <w:rPr>
            <w:rStyle w:val="Hyperlink"/>
            <w:color w:val="auto"/>
          </w:rPr>
          <w:t>IPNNI-2019-00102R001</w:t>
        </w:r>
      </w:hyperlink>
    </w:p>
    <w:p w14:paraId="178A1B24" w14:textId="77777777" w:rsidR="0047481C" w:rsidRDefault="0047481C" w:rsidP="0047481C">
      <w:pPr>
        <w:spacing w:before="0" w:after="0"/>
        <w:jc w:val="left"/>
      </w:pPr>
    </w:p>
    <w:p w14:paraId="28400394" w14:textId="055C38FF" w:rsidR="0047481C" w:rsidRPr="00DA7E33" w:rsidRDefault="0060335F" w:rsidP="0047481C">
      <w:pPr>
        <w:spacing w:before="0" w:after="0"/>
        <w:jc w:val="left"/>
        <w:rPr>
          <w:b/>
        </w:rPr>
      </w:pPr>
      <w:r>
        <w:rPr>
          <w:b/>
        </w:rPr>
        <w:t xml:space="preserve">A.3 </w:t>
      </w:r>
      <w:r w:rsidR="0047481C" w:rsidRPr="00DA7E33">
        <w:rPr>
          <w:b/>
        </w:rPr>
        <w:t>Central TN Database:</w:t>
      </w:r>
    </w:p>
    <w:p w14:paraId="3AD613E4" w14:textId="77777777" w:rsidR="0047481C" w:rsidRDefault="0047481C" w:rsidP="0047481C">
      <w:pPr>
        <w:spacing w:before="0" w:after="0"/>
        <w:jc w:val="left"/>
      </w:pPr>
    </w:p>
    <w:p w14:paraId="29EFC5DE" w14:textId="62687D17"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rsidR="00597466">
        <w:t xml:space="preserve">  </w:t>
      </w:r>
      <w:r w:rsidRPr="009B1A4A">
        <w:t>It is envisaged that the CTND has a RESTful API which is accessed by carriers (as their role as TNSPs, OSPs, etc)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738CB427" w:rsidR="0047481C" w:rsidRPr="00DA7E33" w:rsidRDefault="0047481C" w:rsidP="0047481C">
      <w:pPr>
        <w:spacing w:before="0" w:after="0"/>
        <w:jc w:val="left"/>
        <w:rPr>
          <w:bCs/>
          <w:lang w:val="en-GB"/>
        </w:rPr>
      </w:pPr>
      <w:r>
        <w:rPr>
          <w:bCs/>
          <w:lang w:val="en-GB"/>
        </w:rPr>
        <w:t>The benefits of such an approach include</w:t>
      </w:r>
      <w:r w:rsidR="00597466">
        <w:rPr>
          <w:bCs/>
          <w:lang w:val="en-GB"/>
        </w:rPr>
        <w:t>:</w:t>
      </w:r>
      <w:r>
        <w:rPr>
          <w:bCs/>
          <w:lang w:val="en-GB"/>
        </w:rPr>
        <w:t xml:space="preserve"> </w:t>
      </w:r>
      <w:r w:rsidRPr="00DA7E33">
        <w:rPr>
          <w:lang w:val="en-GB"/>
        </w:rPr>
        <w:t>A-level attestation can be provided to all Enterprise customers</w:t>
      </w:r>
      <w:r>
        <w:rPr>
          <w:bCs/>
          <w:lang w:val="en-GB"/>
        </w:rPr>
        <w:t xml:space="preserve"> i</w:t>
      </w:r>
      <w:r w:rsidRPr="00DA7E33">
        <w:rPr>
          <w:lang w:val="en-GB"/>
        </w:rPr>
        <w:t>ncluding wholesalers, resellers and contact centers</w:t>
      </w:r>
      <w:r w:rsidR="00597466">
        <w:rPr>
          <w:lang w:val="en-GB"/>
        </w:rPr>
        <w:t>;</w:t>
      </w:r>
      <w:r>
        <w:rPr>
          <w:lang w:val="en-GB"/>
        </w:rPr>
        <w:t xml:space="preserve"> </w:t>
      </w:r>
      <w:r w:rsidR="00597466">
        <w:rPr>
          <w:lang w:val="en-GB"/>
        </w:rPr>
        <w:t>n</w:t>
      </w:r>
      <w:r w:rsidRPr="00DA7E33">
        <w:rPr>
          <w:lang w:val="en-GB"/>
        </w:rPr>
        <w:t xml:space="preserve">o stacking of Identity </w:t>
      </w:r>
      <w:r w:rsidR="00D46712">
        <w:rPr>
          <w:lang w:val="en-GB"/>
        </w:rPr>
        <w:t>h</w:t>
      </w:r>
      <w:r w:rsidRPr="00DA7E33">
        <w:rPr>
          <w:lang w:val="en-GB"/>
        </w:rPr>
        <w:t xml:space="preserve">eaders </w:t>
      </w:r>
      <w:r w:rsidR="00597466">
        <w:rPr>
          <w:lang w:val="en-GB"/>
        </w:rPr>
        <w:t xml:space="preserve">is </w:t>
      </w:r>
      <w:r w:rsidRPr="00DA7E33">
        <w:rPr>
          <w:lang w:val="en-GB"/>
        </w:rPr>
        <w:t>required</w:t>
      </w:r>
      <w:r>
        <w:rPr>
          <w:bCs/>
          <w:lang w:val="en-GB"/>
        </w:rPr>
        <w:t xml:space="preserve"> and </w:t>
      </w:r>
      <w:r w:rsidR="00597466">
        <w:rPr>
          <w:bCs/>
          <w:lang w:val="en-GB"/>
        </w:rPr>
        <w:t xml:space="preserve">there are </w:t>
      </w:r>
      <w:r>
        <w:rPr>
          <w:bCs/>
          <w:lang w:val="en-GB"/>
        </w:rPr>
        <w:t>n</w:t>
      </w:r>
      <w:r w:rsidRPr="00DA7E33">
        <w:rPr>
          <w:lang w:val="en-GB"/>
        </w:rPr>
        <w:t>o precedence/interop issues</w:t>
      </w:r>
      <w:r>
        <w:rPr>
          <w:bCs/>
          <w:lang w:val="en-GB"/>
        </w:rPr>
        <w:t xml:space="preserve">.  In addition, </w:t>
      </w:r>
      <w:r w:rsidR="00597466">
        <w:rPr>
          <w:bCs/>
          <w:lang w:val="en-GB"/>
        </w:rPr>
        <w:t xml:space="preserve">there is </w:t>
      </w:r>
      <w:r>
        <w:rPr>
          <w:bCs/>
          <w:lang w:val="en-GB"/>
        </w:rPr>
        <w:t>m</w:t>
      </w:r>
      <w:r w:rsidRPr="00DA7E33">
        <w:rPr>
          <w:lang w:val="en-GB"/>
        </w:rPr>
        <w:t xml:space="preserve">inimal </w:t>
      </w:r>
      <w:r w:rsidR="00597466">
        <w:rPr>
          <w:lang w:val="en-GB"/>
        </w:rPr>
        <w:t xml:space="preserve">impact on </w:t>
      </w:r>
      <w:r w:rsidRPr="00DA7E33">
        <w:rPr>
          <w:lang w:val="en-GB"/>
        </w:rPr>
        <w:t>Enterprise</w:t>
      </w:r>
      <w:r w:rsidR="00597466">
        <w:rPr>
          <w:lang w:val="en-GB"/>
        </w:rPr>
        <w:t>s</w:t>
      </w:r>
      <w:r w:rsidRPr="00DA7E33">
        <w:rPr>
          <w:lang w:val="en-GB"/>
        </w:rPr>
        <w:t xml:space="preserve"> </w:t>
      </w:r>
      <w:r w:rsidR="00597466">
        <w:rPr>
          <w:lang w:val="en-GB"/>
        </w:rPr>
        <w:t xml:space="preserve">– they </w:t>
      </w:r>
      <w:r w:rsidRPr="00DA7E33">
        <w:rPr>
          <w:lang w:val="en-GB"/>
        </w:rPr>
        <w:t xml:space="preserve">only </w:t>
      </w:r>
      <w:r>
        <w:rPr>
          <w:lang w:val="en-GB"/>
        </w:rPr>
        <w:t>hav</w:t>
      </w:r>
      <w:r w:rsidR="00597466">
        <w:rPr>
          <w:lang w:val="en-GB"/>
        </w:rPr>
        <w:t>e</w:t>
      </w:r>
      <w:r w:rsidRPr="00DA7E33">
        <w:rPr>
          <w:lang w:val="en-GB"/>
        </w:rPr>
        <w:t xml:space="preserve"> to update their TNSP if </w:t>
      </w:r>
      <w:r w:rsidR="00597466">
        <w:rPr>
          <w:lang w:val="en-GB"/>
        </w:rPr>
        <w:t xml:space="preserve">they </w:t>
      </w:r>
      <w:r w:rsidRPr="00DA7E33">
        <w:rPr>
          <w:lang w:val="en-GB"/>
        </w:rPr>
        <w:t>resell/provide TNs to another</w:t>
      </w:r>
      <w:r>
        <w:rPr>
          <w:bCs/>
          <w:lang w:val="en-GB"/>
        </w:rPr>
        <w:t xml:space="preserve"> </w:t>
      </w:r>
      <w:r w:rsidR="00597466">
        <w:rPr>
          <w:bCs/>
          <w:lang w:val="en-GB"/>
        </w:rPr>
        <w:t xml:space="preserve">Enterprise - </w:t>
      </w:r>
      <w:r>
        <w:rPr>
          <w:bCs/>
          <w:lang w:val="en-GB"/>
        </w:rPr>
        <w:t xml:space="preserve">and </w:t>
      </w:r>
      <w:r w:rsidR="00597466">
        <w:rPr>
          <w:bCs/>
          <w:lang w:val="en-GB"/>
        </w:rPr>
        <w:t xml:space="preserve">all </w:t>
      </w:r>
      <w:r>
        <w:rPr>
          <w:bCs/>
          <w:lang w:val="en-GB"/>
        </w:rPr>
        <w:t>c</w:t>
      </w:r>
      <w:r w:rsidRPr="00DA7E33">
        <w:rPr>
          <w:lang w:val="en-GB"/>
        </w:rPr>
        <w:t>ertificate issuance/governance is retained at the STI-CA</w:t>
      </w:r>
      <w:r>
        <w:rPr>
          <w:bCs/>
          <w:lang w:val="en-GB"/>
        </w:rPr>
        <w:t>.  It also r</w:t>
      </w:r>
      <w:r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1E74AD6E" w:rsidR="0047481C" w:rsidRDefault="0047481C" w:rsidP="0047481C">
      <w:pPr>
        <w:spacing w:before="0" w:after="0"/>
        <w:jc w:val="left"/>
      </w:pPr>
      <w:r>
        <w:t xml:space="preserve">The details of this proposal </w:t>
      </w:r>
      <w:r w:rsidR="00402B68">
        <w:t xml:space="preserve">are </w:t>
      </w:r>
      <w:r>
        <w:t xml:space="preserve">contained in - </w:t>
      </w:r>
      <w:hyperlink r:id="rId22" w:history="1">
        <w:r w:rsidRPr="00F24F00">
          <w:rPr>
            <w:lang w:val="en-GB"/>
          </w:rPr>
          <w:t>IPNNI-</w:t>
        </w:r>
        <w:r w:rsidR="000F331E">
          <w:rPr>
            <w:lang w:val="en-GB"/>
          </w:rPr>
          <w:t>2020-00023R0</w:t>
        </w:r>
      </w:hyperlink>
      <w:r w:rsidR="005B6D58">
        <w:rPr>
          <w:lang w:val="en-GB"/>
        </w:rPr>
        <w:t>00</w:t>
      </w:r>
      <w:r w:rsidR="00597466">
        <w:rPr>
          <w:rStyle w:val="Hyperlink"/>
        </w:rPr>
        <w:t>.</w:t>
      </w:r>
    </w:p>
    <w:p w14:paraId="73B0ED1D" w14:textId="77777777" w:rsidR="00B4110B" w:rsidRDefault="009920E1" w:rsidP="009920E1">
      <w:pPr>
        <w:spacing w:before="0" w:after="0"/>
        <w:jc w:val="left"/>
      </w:pPr>
      <w:r w:rsidRPr="000370EE">
        <w:t xml:space="preserve"> </w:t>
      </w:r>
    </w:p>
    <w:p w14:paraId="65B52A74" w14:textId="40E053A5" w:rsidR="0060335F" w:rsidRPr="00FE0AEA" w:rsidRDefault="0060335F" w:rsidP="0060335F">
      <w:pPr>
        <w:rPr>
          <w:b/>
        </w:rPr>
      </w:pPr>
      <w:r w:rsidRPr="00FE0AEA">
        <w:rPr>
          <w:b/>
        </w:rPr>
        <w:t xml:space="preserve">A.4 Differences in how the </w:t>
      </w:r>
      <w:r w:rsidR="00697038" w:rsidRPr="00FE0AEA">
        <w:rPr>
          <w:b/>
        </w:rPr>
        <w:t xml:space="preserve">vetted </w:t>
      </w:r>
      <w:r w:rsidRPr="00FE0AEA">
        <w:rPr>
          <w:b/>
        </w:rPr>
        <w:t>information is passed to the OSP</w:t>
      </w:r>
    </w:p>
    <w:p w14:paraId="6232A945" w14:textId="1A6D146C" w:rsidR="0060335F" w:rsidRDefault="0060335F" w:rsidP="0060335F">
      <w:r>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77777777" w:rsidR="0060335F" w:rsidRPr="00FE0AEA" w:rsidRDefault="0060335F" w:rsidP="00FE0AEA">
      <w:pPr>
        <w:pStyle w:val="ListParagraph"/>
        <w:numPr>
          <w:ilvl w:val="0"/>
          <w:numId w:val="50"/>
        </w:numPr>
        <w:rPr>
          <w:b/>
        </w:rPr>
      </w:pPr>
      <w:r w:rsidRPr="00FE0AEA">
        <w:rPr>
          <w:b/>
        </w:rPr>
        <w:t>Delegated Certificates:</w:t>
      </w:r>
    </w:p>
    <w:p w14:paraId="3AC03FC9" w14:textId="5DD2457F" w:rsidR="008A7A03" w:rsidRDefault="008A7A03" w:rsidP="00FE0AEA">
      <w:pPr>
        <w:pStyle w:val="ListParagraph"/>
      </w:pPr>
    </w:p>
    <w:p w14:paraId="6B78B3CE" w14:textId="109FDEEB" w:rsidR="008A7A03" w:rsidRDefault="00D027BE" w:rsidP="00FE0AEA">
      <w:pPr>
        <w:pStyle w:val="ListParagraph"/>
      </w:pPr>
      <w:r>
        <w:t xml:space="preserve">For </w:t>
      </w:r>
      <w:r w:rsidR="00FE3775">
        <w:t>two of the</w:t>
      </w:r>
      <w:r>
        <w:t xml:space="preserve"> sub-options – Delegate</w:t>
      </w:r>
      <w:r w:rsidR="00270211">
        <w:t>d</w:t>
      </w:r>
      <w:r>
        <w:t xml:space="preserve"> Certificates,</w:t>
      </w:r>
      <w:r w:rsidR="00FE3775">
        <w:t xml:space="preserve"> and </w:t>
      </w:r>
      <w:r>
        <w:t xml:space="preserve">Enterprise Certificates,– the originating </w:t>
      </w:r>
      <w:r w:rsidR="00787456">
        <w:t xml:space="preserve">enterprise </w:t>
      </w:r>
      <w:r>
        <w:t>entity obtains an STI certificate that chains to the trusted root certificate of an approved STI-CA</w:t>
      </w:r>
      <w:r w:rsidR="004D7F12">
        <w:t xml:space="preserve"> and</w:t>
      </w:r>
      <w:r>
        <w:t xml:space="preserve"> </w:t>
      </w:r>
      <w:r w:rsidR="00FE3775">
        <w:t xml:space="preserve">for the Lemon-Twist sub-option, the STI certificate is obtained from one of the trusted STI-CAs. </w:t>
      </w:r>
      <w:r>
        <w:t xml:space="preserve">At call origination time, the originating </w:t>
      </w:r>
      <w:r w:rsidR="00787456">
        <w:t xml:space="preserve">enterprise </w:t>
      </w:r>
      <w:r>
        <w:t xml:space="preserve">entity asserts its authorization to use the calling TN by including a PASSporT,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originating 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F6DD0">
        <w:t>use</w:t>
      </w:r>
      <w:r w:rsidR="00F34C1A">
        <w:t xml:space="preserve"> the </w:t>
      </w:r>
      <w:r w:rsidR="00834182">
        <w:t>origid</w:t>
      </w:r>
      <w:r w:rsidR="005D7EA1">
        <w:t xml:space="preserve"> claim</w:t>
      </w:r>
      <w:r w:rsidR="00834182">
        <w:t xml:space="preserve"> of </w:t>
      </w:r>
      <w:r w:rsidR="00C60F7C">
        <w:t xml:space="preserve">the </w:t>
      </w:r>
      <w:r w:rsidR="00334A37">
        <w:t xml:space="preserve">originating SP’s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TNAuthList provides additional information on the identity of the </w:t>
      </w:r>
      <w:r w:rsidR="00787456">
        <w:t xml:space="preserve">enterprise </w:t>
      </w:r>
      <w:r w:rsidR="00270211">
        <w:t xml:space="preserve">originating entity.  </w:t>
      </w:r>
      <w:r w:rsidR="00ED5ADC">
        <w:rPr>
          <w:rFonts w:cs="Arial"/>
        </w:rPr>
        <w:t>.</w:t>
      </w:r>
      <w:r w:rsidR="00270211">
        <w:t xml:space="preserve">  </w:t>
      </w:r>
    </w:p>
    <w:p w14:paraId="1A303545" w14:textId="46785AD4" w:rsidR="00545851" w:rsidRDefault="00545851" w:rsidP="00FE0AEA">
      <w:pPr>
        <w:pStyle w:val="ListParagraph"/>
      </w:pPr>
    </w:p>
    <w:p w14:paraId="7414AA07" w14:textId="4FDA7866"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r w:rsidR="000F331E">
        <w:t xml:space="preserve">and Lemon-Twist </w:t>
      </w:r>
      <w:r w:rsidR="00270211">
        <w:t>option</w:t>
      </w:r>
      <w:r w:rsidR="000F331E">
        <w:t>s</w:t>
      </w:r>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w:t>
      </w:r>
      <w:r w:rsidR="00270211">
        <w:t>d</w:t>
      </w:r>
      <w:r w:rsidR="006C568F">
        <w:t xml:space="preserve"> Certificate model</w:t>
      </w:r>
      <w:r w:rsidR="00270211">
        <w:t xml:space="preserve"> </w:t>
      </w:r>
      <w:r w:rsidR="000F331E">
        <w:t xml:space="preserve">is </w:t>
      </w:r>
      <w:r w:rsidR="006C568F">
        <w:t xml:space="preserve">more hierarchical. </w:t>
      </w:r>
      <w:r w:rsidR="00FE3775">
        <w:t xml:space="preserve">For delegated certificates, </w:t>
      </w:r>
      <w:r w:rsidR="006C568F">
        <w:t xml:space="preserve">the top of the hierarchy, the STI-PA </w:t>
      </w:r>
      <w:r w:rsidR="00787456">
        <w:t xml:space="preserve">vets the identity of the TNSP, and </w:t>
      </w:r>
      <w:r w:rsidR="00D46712">
        <w:t xml:space="preserve">allows </w:t>
      </w:r>
      <w:r w:rsidR="006C568F">
        <w:t xml:space="preserve">the TNSP to issue STI certificates to its customers.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p>
    <w:p w14:paraId="763D2862" w14:textId="595121E5"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and Lemon Twist </w:t>
      </w:r>
      <w:r w:rsidR="00123027">
        <w:t>sub-</w:t>
      </w:r>
      <w:r>
        <w:t xml:space="preserve">options,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 xml:space="preserve">This means that for the Lemon 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Note that while the signing certificate in these Delegated Certificate models contains the identity of the certificate holder, this identity information is not used by the OSP to verify whether or not the signing entity is authorized to use the calling TN</w:t>
      </w:r>
      <w:r>
        <w:t xml:space="preserve">. </w:t>
      </w:r>
    </w:p>
    <w:p w14:paraId="58815202" w14:textId="77777777" w:rsidR="0060335F" w:rsidRPr="00FE0AEA" w:rsidRDefault="0060335F" w:rsidP="00FE0AEA">
      <w:pPr>
        <w:pStyle w:val="ListParagraph"/>
        <w:numPr>
          <w:ilvl w:val="0"/>
          <w:numId w:val="50"/>
        </w:numPr>
        <w:rPr>
          <w:b/>
        </w:rPr>
      </w:pPr>
      <w:r w:rsidRPr="00FE0AEA">
        <w:rPr>
          <w:b/>
        </w:rPr>
        <w:t>EV Certificates/TNLoA:</w:t>
      </w:r>
    </w:p>
    <w:p w14:paraId="74340DB6" w14:textId="0A3C3345" w:rsidR="0060335F" w:rsidRDefault="0060335F" w:rsidP="00FE0AEA">
      <w:pPr>
        <w:pStyle w:val="ListParagraph"/>
      </w:pPr>
      <w:r>
        <w:t>In the “EV Certificates/TNLoA” model the entity asserting the use of a calling TN is either directly known via  Customer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w:t>
      </w:r>
      <w:r w:rsidR="00E2749D">
        <w:t>t necessarily need to be an STI-</w:t>
      </w:r>
      <w:r>
        <w:t xml:space="preserve">CA as the certificate does not by itself convey TN authorization information.  The OSP determines the TN authorization by a local authorization database populated from TN Letter of Authorization electronic documents (TNLoA) exchanged with the TNSP or through local assignments.  The </w:t>
      </w:r>
      <w:r>
        <w:lastRenderedPageBreak/>
        <w:t>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77777777" w:rsidR="0060335F" w:rsidRPr="00FE0AEA" w:rsidRDefault="0060335F" w:rsidP="00FE0AEA">
      <w:pPr>
        <w:pStyle w:val="ListParagraph"/>
        <w:numPr>
          <w:ilvl w:val="0"/>
          <w:numId w:val="50"/>
        </w:numPr>
        <w:rPr>
          <w:b/>
        </w:rPr>
      </w:pPr>
      <w:r w:rsidRPr="00FE0AEA">
        <w:rPr>
          <w:b/>
        </w:rPr>
        <w:t>Central database:</w:t>
      </w:r>
    </w:p>
    <w:p w14:paraId="0C7C3EF3" w14:textId="77777777" w:rsidR="00BF06E6" w:rsidRPr="00576A5D" w:rsidRDefault="00BF06E6" w:rsidP="00BF06E6">
      <w:pPr>
        <w:ind w:left="720"/>
      </w:pPr>
      <w:r w:rsidRPr="00576A5D">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03E4755F" w:rsidR="005B0A72" w:rsidRDefault="00BF06E6" w:rsidP="00BF06E6">
      <w:pPr>
        <w:ind w:left="720"/>
      </w:pPr>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06B4002F" w14:textId="37603FA4" w:rsidR="00B25478" w:rsidRPr="00E739AD" w:rsidRDefault="00B4110B" w:rsidP="00E739AD">
      <w:pPr>
        <w:spacing w:before="0" w:after="0"/>
        <w:jc w:val="left"/>
      </w:pPr>
      <w:r>
        <w:t xml:space="preserve">The table below </w:t>
      </w:r>
      <w:r w:rsidR="00C70762">
        <w:t>characterizes</w:t>
      </w:r>
      <w:r>
        <w:t xml:space="preserve"> three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would be desirable. </w:t>
      </w:r>
    </w:p>
    <w:p w14:paraId="50DC4188" w14:textId="1A2294AB" w:rsidR="0087206A" w:rsidRDefault="0087206A">
      <w:pPr>
        <w:spacing w:before="0" w:after="0"/>
        <w:jc w:val="left"/>
      </w:pPr>
      <w:r>
        <w:br w:type="page"/>
      </w:r>
    </w:p>
    <w:p w14:paraId="3BAE19D8" w14:textId="77777777" w:rsidR="00067592" w:rsidRDefault="00067592" w:rsidP="009920E1">
      <w:pPr>
        <w:spacing w:before="0" w:after="0"/>
        <w:jc w:val="left"/>
      </w:pPr>
    </w:p>
    <w:p w14:paraId="2CCAE463" w14:textId="77777777" w:rsidR="00DE47A4" w:rsidRDefault="00DE47A4" w:rsidP="004B443F"/>
    <w:p w14:paraId="7EA8659B" w14:textId="4BB7E9D6" w:rsidR="00DE47A4" w:rsidRDefault="00B25478" w:rsidP="00475D61">
      <w:pPr>
        <w:pStyle w:val="Caption"/>
        <w:keepNext/>
      </w:pPr>
      <w:bookmarkStart w:id="32" w:name="_Toc2690348"/>
      <w:r>
        <w:t>Table A.</w:t>
      </w:r>
      <w:r>
        <w:rPr>
          <w:noProof/>
        </w:rPr>
        <w:fldChar w:fldCharType="begin"/>
      </w:r>
      <w:r>
        <w:rPr>
          <w:noProof/>
        </w:rPr>
        <w:instrText xml:space="preserve"> SEQ Table_A. \* ARABIC </w:instrText>
      </w:r>
      <w:r>
        <w:rPr>
          <w:noProof/>
        </w:rPr>
        <w:fldChar w:fldCharType="separate"/>
      </w:r>
      <w:r>
        <w:rPr>
          <w:noProof/>
        </w:rPr>
        <w:t>1</w:t>
      </w:r>
      <w:r>
        <w:rPr>
          <w:noProof/>
        </w:rPr>
        <w:fldChar w:fldCharType="end"/>
      </w:r>
      <w:r>
        <w:t xml:space="preserve"> – </w:t>
      </w:r>
      <w:bookmarkEnd w:id="32"/>
      <w:r>
        <w:t>Solution Comparison Matrix</w:t>
      </w:r>
    </w:p>
    <w:tbl>
      <w:tblPr>
        <w:tblStyle w:val="TableGrid"/>
        <w:tblW w:w="9355" w:type="dxa"/>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87206A" w14:paraId="2C0759AA" w14:textId="77777777" w:rsidTr="00387F73">
        <w:tc>
          <w:tcPr>
            <w:tcW w:w="3415" w:type="dxa"/>
          </w:tcPr>
          <w:p w14:paraId="7D50255C" w14:textId="77777777" w:rsidR="0087206A" w:rsidRDefault="0087206A" w:rsidP="00387F73">
            <w:pPr>
              <w:jc w:val="center"/>
              <w:rPr>
                <w:rFonts w:cs="Arial"/>
              </w:rPr>
            </w:pPr>
          </w:p>
        </w:tc>
        <w:tc>
          <w:tcPr>
            <w:tcW w:w="1980" w:type="dxa"/>
          </w:tcPr>
          <w:p w14:paraId="06B63070" w14:textId="77777777" w:rsidR="0087206A" w:rsidRPr="004F7915" w:rsidRDefault="0087206A" w:rsidP="00387F73">
            <w:pPr>
              <w:jc w:val="center"/>
              <w:rPr>
                <w:rFonts w:cs="Arial"/>
                <w:b/>
                <w:bCs/>
              </w:rPr>
            </w:pPr>
            <w:r w:rsidRPr="004F7915">
              <w:rPr>
                <w:rFonts w:cs="Arial"/>
                <w:b/>
                <w:bCs/>
              </w:rPr>
              <w:t>Delegated</w:t>
            </w:r>
          </w:p>
          <w:p w14:paraId="166CEF77" w14:textId="5DC29AE2" w:rsidR="0087206A" w:rsidRPr="004F7915" w:rsidRDefault="0087206A" w:rsidP="00387F73">
            <w:pPr>
              <w:jc w:val="center"/>
              <w:rPr>
                <w:rFonts w:cs="Arial"/>
              </w:rPr>
            </w:pPr>
            <w:r w:rsidRPr="004F7915">
              <w:rPr>
                <w:rFonts w:cs="Arial"/>
                <w:b/>
                <w:bCs/>
              </w:rPr>
              <w:t>Certificates</w:t>
            </w:r>
            <w:r w:rsidR="00517082" w:rsidRPr="004F7915">
              <w:rPr>
                <w:rStyle w:val="FootnoteReference"/>
                <w:rFonts w:cs="Arial"/>
                <w:b/>
                <w:bCs/>
              </w:rPr>
              <w:footnoteReference w:id="1"/>
            </w:r>
          </w:p>
        </w:tc>
        <w:tc>
          <w:tcPr>
            <w:tcW w:w="1980" w:type="dxa"/>
          </w:tcPr>
          <w:p w14:paraId="6C2B533D" w14:textId="77777777" w:rsidR="0087206A" w:rsidRPr="004F7915" w:rsidRDefault="0087206A" w:rsidP="00387F73">
            <w:pPr>
              <w:jc w:val="center"/>
              <w:rPr>
                <w:rFonts w:cs="Arial"/>
                <w:b/>
                <w:bCs/>
              </w:rPr>
            </w:pPr>
            <w:r w:rsidRPr="004F7915">
              <w:rPr>
                <w:rFonts w:cs="Arial"/>
                <w:b/>
                <w:bCs/>
              </w:rPr>
              <w:t>EV Certificates</w:t>
            </w:r>
          </w:p>
          <w:p w14:paraId="55252F0A" w14:textId="77777777" w:rsidR="0087206A" w:rsidRPr="004F7915" w:rsidRDefault="0087206A" w:rsidP="00387F73">
            <w:pPr>
              <w:jc w:val="center"/>
              <w:rPr>
                <w:rFonts w:cs="Arial"/>
              </w:rPr>
            </w:pPr>
            <w:r w:rsidRPr="004F7915">
              <w:rPr>
                <w:rFonts w:cs="Arial"/>
                <w:b/>
                <w:bCs/>
              </w:rPr>
              <w:t>with TN LOAs</w:t>
            </w:r>
          </w:p>
        </w:tc>
        <w:tc>
          <w:tcPr>
            <w:tcW w:w="1980" w:type="dxa"/>
          </w:tcPr>
          <w:p w14:paraId="0E8A716C" w14:textId="77777777" w:rsidR="0087206A" w:rsidRPr="004F7915" w:rsidRDefault="0087206A" w:rsidP="00387F73">
            <w:pPr>
              <w:jc w:val="center"/>
              <w:rPr>
                <w:rFonts w:cs="Arial"/>
                <w:b/>
                <w:bCs/>
              </w:rPr>
            </w:pPr>
            <w:r w:rsidRPr="004F7915">
              <w:rPr>
                <w:rFonts w:cs="Arial"/>
                <w:b/>
                <w:bCs/>
              </w:rPr>
              <w:t>Central</w:t>
            </w:r>
          </w:p>
          <w:p w14:paraId="702DE717" w14:textId="77777777" w:rsidR="0087206A" w:rsidRPr="004F7915" w:rsidRDefault="0087206A" w:rsidP="00387F73">
            <w:pPr>
              <w:jc w:val="center"/>
              <w:rPr>
                <w:rFonts w:cs="Arial"/>
              </w:rPr>
            </w:pPr>
            <w:r w:rsidRPr="004F7915">
              <w:rPr>
                <w:rFonts w:cs="Arial"/>
                <w:b/>
                <w:bCs/>
              </w:rPr>
              <w:t>Database</w:t>
            </w:r>
          </w:p>
        </w:tc>
      </w:tr>
      <w:tr w:rsidR="0087206A" w14:paraId="40EFD6A0" w14:textId="77777777" w:rsidTr="00387F73">
        <w:tc>
          <w:tcPr>
            <w:tcW w:w="3415" w:type="dxa"/>
            <w:vAlign w:val="center"/>
          </w:tcPr>
          <w:p w14:paraId="31078F6C" w14:textId="77777777" w:rsidR="0087206A" w:rsidRDefault="0087206A" w:rsidP="00387F73">
            <w:pPr>
              <w:jc w:val="center"/>
              <w:rPr>
                <w:rFonts w:cs="Arial"/>
              </w:rPr>
            </w:pPr>
            <w:r>
              <w:rPr>
                <w:rFonts w:cs="Arial"/>
              </w:rPr>
              <w:t>OSP defines attestation via local policy</w:t>
            </w:r>
          </w:p>
        </w:tc>
        <w:tc>
          <w:tcPr>
            <w:tcW w:w="1980" w:type="dxa"/>
            <w:vAlign w:val="center"/>
          </w:tcPr>
          <w:p w14:paraId="0A15F2B6" w14:textId="77777777" w:rsidR="0087206A" w:rsidRDefault="0087206A" w:rsidP="00387F73">
            <w:pPr>
              <w:jc w:val="center"/>
              <w:rPr>
                <w:rFonts w:cs="Arial"/>
              </w:rPr>
            </w:pPr>
            <w:r>
              <w:rPr>
                <w:rFonts w:cs="Arial"/>
              </w:rPr>
              <w:t>Yes</w:t>
            </w:r>
          </w:p>
        </w:tc>
        <w:tc>
          <w:tcPr>
            <w:tcW w:w="1980" w:type="dxa"/>
            <w:vAlign w:val="center"/>
          </w:tcPr>
          <w:p w14:paraId="070CE6BE" w14:textId="77777777" w:rsidR="0087206A" w:rsidRDefault="0087206A" w:rsidP="00387F73">
            <w:pPr>
              <w:jc w:val="center"/>
              <w:rPr>
                <w:rFonts w:cs="Arial"/>
              </w:rPr>
            </w:pPr>
            <w:r>
              <w:rPr>
                <w:rFonts w:cs="Arial"/>
              </w:rPr>
              <w:t>Yes</w:t>
            </w:r>
          </w:p>
        </w:tc>
        <w:tc>
          <w:tcPr>
            <w:tcW w:w="1980" w:type="dxa"/>
            <w:vAlign w:val="center"/>
          </w:tcPr>
          <w:p w14:paraId="14FCCA76" w14:textId="77777777" w:rsidR="0087206A" w:rsidRDefault="0087206A" w:rsidP="00387F73">
            <w:pPr>
              <w:jc w:val="center"/>
              <w:rPr>
                <w:rFonts w:cs="Arial"/>
              </w:rPr>
            </w:pPr>
            <w:r>
              <w:rPr>
                <w:rFonts w:cs="Arial"/>
              </w:rPr>
              <w:t>Yes</w:t>
            </w:r>
          </w:p>
        </w:tc>
      </w:tr>
      <w:tr w:rsidR="0087206A" w14:paraId="5CCD1FA5" w14:textId="77777777" w:rsidTr="00387F73">
        <w:tc>
          <w:tcPr>
            <w:tcW w:w="3415" w:type="dxa"/>
            <w:vAlign w:val="center"/>
          </w:tcPr>
          <w:p w14:paraId="4C099616" w14:textId="255BCBA9" w:rsidR="0087206A" w:rsidRDefault="0087206A" w:rsidP="00387F73">
            <w:pPr>
              <w:jc w:val="center"/>
              <w:rPr>
                <w:rFonts w:cs="Arial"/>
              </w:rPr>
            </w:pPr>
            <w:r>
              <w:rPr>
                <w:rFonts w:cs="Arial"/>
              </w:rPr>
              <w:t xml:space="preserve">OSP adds SHAKEN </w:t>
            </w:r>
            <w:r w:rsidR="00D9596F">
              <w:rPr>
                <w:rFonts w:cs="Arial"/>
              </w:rPr>
              <w:t>I</w:t>
            </w:r>
            <w:r>
              <w:rPr>
                <w:rFonts w:cs="Arial"/>
              </w:rPr>
              <w:t>dentity header</w:t>
            </w:r>
          </w:p>
        </w:tc>
        <w:tc>
          <w:tcPr>
            <w:tcW w:w="1980" w:type="dxa"/>
            <w:vAlign w:val="center"/>
          </w:tcPr>
          <w:p w14:paraId="26CF9B4B" w14:textId="519E0F39" w:rsidR="0087206A" w:rsidRDefault="0087206A" w:rsidP="00387F73">
            <w:pPr>
              <w:jc w:val="center"/>
              <w:rPr>
                <w:rFonts w:cs="Arial"/>
              </w:rPr>
            </w:pPr>
            <w:r>
              <w:rPr>
                <w:rFonts w:cs="Arial"/>
              </w:rPr>
              <w:t>Yes</w:t>
            </w:r>
            <w:r w:rsidR="00517082">
              <w:rPr>
                <w:rStyle w:val="FootnoteReference"/>
                <w:rFonts w:cs="Arial"/>
              </w:rPr>
              <w:footnoteReference w:id="2"/>
            </w:r>
          </w:p>
        </w:tc>
        <w:tc>
          <w:tcPr>
            <w:tcW w:w="1980" w:type="dxa"/>
            <w:vAlign w:val="center"/>
          </w:tcPr>
          <w:p w14:paraId="058542CC" w14:textId="77777777" w:rsidR="0087206A" w:rsidRDefault="0087206A" w:rsidP="00387F73">
            <w:pPr>
              <w:jc w:val="center"/>
              <w:rPr>
                <w:rFonts w:cs="Arial"/>
              </w:rPr>
            </w:pPr>
            <w:r>
              <w:rPr>
                <w:rFonts w:cs="Arial"/>
              </w:rPr>
              <w:t>Yes</w:t>
            </w:r>
          </w:p>
        </w:tc>
        <w:tc>
          <w:tcPr>
            <w:tcW w:w="1980" w:type="dxa"/>
            <w:vAlign w:val="center"/>
          </w:tcPr>
          <w:p w14:paraId="64604893" w14:textId="77777777" w:rsidR="0087206A" w:rsidRDefault="0087206A" w:rsidP="00387F73">
            <w:pPr>
              <w:jc w:val="center"/>
              <w:rPr>
                <w:rFonts w:cs="Arial"/>
              </w:rPr>
            </w:pPr>
            <w:r>
              <w:rPr>
                <w:rFonts w:cs="Arial"/>
              </w:rPr>
              <w:t>Yes</w:t>
            </w:r>
          </w:p>
        </w:tc>
      </w:tr>
      <w:tr w:rsidR="0087206A" w14:paraId="6F8E104C" w14:textId="77777777" w:rsidTr="00387F73">
        <w:tc>
          <w:tcPr>
            <w:tcW w:w="3415" w:type="dxa"/>
            <w:vAlign w:val="center"/>
          </w:tcPr>
          <w:p w14:paraId="4443DA87" w14:textId="47D494B9" w:rsidR="0087206A" w:rsidRDefault="0087206A" w:rsidP="00AF25FB">
            <w:pPr>
              <w:jc w:val="center"/>
              <w:rPr>
                <w:rFonts w:cs="Arial"/>
              </w:rPr>
            </w:pPr>
            <w:r>
              <w:rPr>
                <w:rFonts w:cs="Arial"/>
              </w:rPr>
              <w:t xml:space="preserve">Enterprise call origination information is provided to OSP to </w:t>
            </w:r>
            <w:r w:rsidR="00AF25FB">
              <w:rPr>
                <w:rFonts w:cs="Arial"/>
              </w:rPr>
              <w:t xml:space="preserve">support the </w:t>
            </w:r>
            <w:r>
              <w:rPr>
                <w:rFonts w:cs="Arial"/>
              </w:rPr>
              <w:t>STI-AS function</w:t>
            </w:r>
          </w:p>
        </w:tc>
        <w:tc>
          <w:tcPr>
            <w:tcW w:w="1980" w:type="dxa"/>
            <w:vAlign w:val="center"/>
          </w:tcPr>
          <w:p w14:paraId="7A2341DC" w14:textId="77777777" w:rsidR="0087206A" w:rsidRDefault="0087206A" w:rsidP="00387F73">
            <w:pPr>
              <w:jc w:val="center"/>
              <w:rPr>
                <w:rFonts w:cs="Arial"/>
              </w:rPr>
            </w:pPr>
            <w:r>
              <w:rPr>
                <w:rFonts w:cs="Arial"/>
              </w:rPr>
              <w:t>Yes</w:t>
            </w:r>
          </w:p>
        </w:tc>
        <w:tc>
          <w:tcPr>
            <w:tcW w:w="1980" w:type="dxa"/>
            <w:vAlign w:val="center"/>
          </w:tcPr>
          <w:p w14:paraId="35A28670" w14:textId="77777777" w:rsidR="0087206A" w:rsidRDefault="0087206A" w:rsidP="00387F73">
            <w:pPr>
              <w:jc w:val="center"/>
              <w:rPr>
                <w:rFonts w:cs="Arial"/>
              </w:rPr>
            </w:pPr>
            <w:r>
              <w:rPr>
                <w:rFonts w:cs="Arial"/>
              </w:rPr>
              <w:t>Yes</w:t>
            </w:r>
          </w:p>
        </w:tc>
        <w:tc>
          <w:tcPr>
            <w:tcW w:w="1980" w:type="dxa"/>
            <w:vAlign w:val="center"/>
          </w:tcPr>
          <w:p w14:paraId="370C57B8" w14:textId="77777777" w:rsidR="0087206A" w:rsidRDefault="0087206A" w:rsidP="00387F73">
            <w:pPr>
              <w:jc w:val="center"/>
              <w:rPr>
                <w:rFonts w:cs="Arial"/>
              </w:rPr>
            </w:pPr>
            <w:r>
              <w:rPr>
                <w:rFonts w:cs="Arial"/>
              </w:rPr>
              <w:t>Yes</w:t>
            </w:r>
          </w:p>
        </w:tc>
      </w:tr>
      <w:tr w:rsidR="0087206A" w14:paraId="22ABF489" w14:textId="77777777" w:rsidTr="00387F73">
        <w:tc>
          <w:tcPr>
            <w:tcW w:w="3415" w:type="dxa"/>
            <w:vAlign w:val="center"/>
          </w:tcPr>
          <w:p w14:paraId="38142760" w14:textId="77777777" w:rsidR="0087206A" w:rsidRDefault="0087206A" w:rsidP="00387F73">
            <w:pPr>
              <w:jc w:val="center"/>
              <w:rPr>
                <w:rFonts w:cs="Arial"/>
              </w:rPr>
            </w:pPr>
            <w:r>
              <w:rPr>
                <w:rFonts w:cs="Arial"/>
              </w:rPr>
              <w:t>Modification required to STI-AS process to use enterprise call origination information</w:t>
            </w:r>
          </w:p>
        </w:tc>
        <w:tc>
          <w:tcPr>
            <w:tcW w:w="1980" w:type="dxa"/>
            <w:vAlign w:val="center"/>
          </w:tcPr>
          <w:p w14:paraId="783759C6" w14:textId="77777777" w:rsidR="0087206A" w:rsidRDefault="0087206A" w:rsidP="00387F73">
            <w:pPr>
              <w:jc w:val="center"/>
              <w:rPr>
                <w:rFonts w:cs="Arial"/>
              </w:rPr>
            </w:pPr>
            <w:r>
              <w:rPr>
                <w:rFonts w:cs="Arial"/>
              </w:rPr>
              <w:t>Yes</w:t>
            </w:r>
          </w:p>
        </w:tc>
        <w:tc>
          <w:tcPr>
            <w:tcW w:w="1980" w:type="dxa"/>
            <w:vAlign w:val="center"/>
          </w:tcPr>
          <w:p w14:paraId="7E7C0134" w14:textId="77777777" w:rsidR="0087206A" w:rsidRDefault="0087206A" w:rsidP="00387F73">
            <w:pPr>
              <w:jc w:val="center"/>
              <w:rPr>
                <w:rFonts w:cs="Arial"/>
              </w:rPr>
            </w:pPr>
            <w:r>
              <w:rPr>
                <w:rFonts w:cs="Arial"/>
              </w:rPr>
              <w:t>Yes</w:t>
            </w:r>
          </w:p>
        </w:tc>
        <w:tc>
          <w:tcPr>
            <w:tcW w:w="1980" w:type="dxa"/>
            <w:vAlign w:val="center"/>
          </w:tcPr>
          <w:p w14:paraId="764726E4" w14:textId="77777777" w:rsidR="0087206A" w:rsidRDefault="0087206A" w:rsidP="00387F73">
            <w:pPr>
              <w:jc w:val="center"/>
              <w:rPr>
                <w:rFonts w:cs="Arial"/>
              </w:rPr>
            </w:pPr>
            <w:r>
              <w:rPr>
                <w:rFonts w:cs="Arial"/>
              </w:rPr>
              <w:t>Yes</w:t>
            </w:r>
          </w:p>
        </w:tc>
      </w:tr>
      <w:tr w:rsidR="0087206A" w14:paraId="1B8C8A65" w14:textId="77777777" w:rsidTr="00387F73">
        <w:tc>
          <w:tcPr>
            <w:tcW w:w="3415" w:type="dxa"/>
            <w:vAlign w:val="center"/>
          </w:tcPr>
          <w:p w14:paraId="39D1016A" w14:textId="77777777" w:rsidR="0087206A" w:rsidRDefault="0087206A" w:rsidP="00387F73">
            <w:pPr>
              <w:jc w:val="center"/>
              <w:rPr>
                <w:rFonts w:cs="Arial"/>
              </w:rPr>
            </w:pPr>
            <w:r>
              <w:rPr>
                <w:rFonts w:cs="Arial"/>
              </w:rPr>
              <w:t>TNSP controls TN delegation</w:t>
            </w:r>
          </w:p>
        </w:tc>
        <w:tc>
          <w:tcPr>
            <w:tcW w:w="1980" w:type="dxa"/>
            <w:vAlign w:val="center"/>
          </w:tcPr>
          <w:p w14:paraId="22300A97" w14:textId="77777777" w:rsidR="0087206A" w:rsidRDefault="0087206A" w:rsidP="00387F73">
            <w:pPr>
              <w:jc w:val="center"/>
              <w:rPr>
                <w:rFonts w:cs="Arial"/>
              </w:rPr>
            </w:pPr>
            <w:r>
              <w:rPr>
                <w:rFonts w:cs="Arial"/>
              </w:rPr>
              <w:t>Yes</w:t>
            </w:r>
          </w:p>
        </w:tc>
        <w:tc>
          <w:tcPr>
            <w:tcW w:w="1980" w:type="dxa"/>
            <w:vAlign w:val="center"/>
          </w:tcPr>
          <w:p w14:paraId="2812F67C" w14:textId="77777777" w:rsidR="0087206A" w:rsidRDefault="0087206A" w:rsidP="00387F73">
            <w:pPr>
              <w:jc w:val="center"/>
              <w:rPr>
                <w:rFonts w:cs="Arial"/>
              </w:rPr>
            </w:pPr>
            <w:r>
              <w:rPr>
                <w:rFonts w:cs="Arial"/>
              </w:rPr>
              <w:t>Yes</w:t>
            </w:r>
          </w:p>
        </w:tc>
        <w:tc>
          <w:tcPr>
            <w:tcW w:w="1980" w:type="dxa"/>
            <w:vAlign w:val="center"/>
          </w:tcPr>
          <w:p w14:paraId="7A86AC4A" w14:textId="77777777" w:rsidR="0087206A" w:rsidRDefault="0087206A" w:rsidP="00387F73">
            <w:pPr>
              <w:jc w:val="center"/>
              <w:rPr>
                <w:rFonts w:cs="Arial"/>
              </w:rPr>
            </w:pPr>
            <w:r>
              <w:rPr>
                <w:rFonts w:cs="Arial"/>
              </w:rPr>
              <w:t>Yes</w:t>
            </w:r>
          </w:p>
        </w:tc>
      </w:tr>
      <w:tr w:rsidR="0087206A" w14:paraId="3E52823F" w14:textId="77777777" w:rsidTr="00387F73">
        <w:tc>
          <w:tcPr>
            <w:tcW w:w="3415" w:type="dxa"/>
            <w:vAlign w:val="center"/>
          </w:tcPr>
          <w:p w14:paraId="79A613BD" w14:textId="77777777" w:rsidR="0087206A" w:rsidRDefault="0087206A" w:rsidP="00387F73">
            <w:pPr>
              <w:jc w:val="center"/>
              <w:rPr>
                <w:rFonts w:cs="Arial"/>
              </w:rPr>
            </w:pPr>
            <w:r>
              <w:rPr>
                <w:rFonts w:cs="Arial"/>
              </w:rPr>
              <w:t>Number Portability supported</w:t>
            </w:r>
          </w:p>
        </w:tc>
        <w:tc>
          <w:tcPr>
            <w:tcW w:w="1980" w:type="dxa"/>
            <w:vAlign w:val="center"/>
          </w:tcPr>
          <w:p w14:paraId="73502BB3" w14:textId="77777777" w:rsidR="0087206A" w:rsidRDefault="0087206A" w:rsidP="00387F73">
            <w:pPr>
              <w:jc w:val="center"/>
              <w:rPr>
                <w:rFonts w:cs="Arial"/>
              </w:rPr>
            </w:pPr>
            <w:r>
              <w:rPr>
                <w:rFonts w:cs="Arial"/>
              </w:rPr>
              <w:t>Yes</w:t>
            </w:r>
          </w:p>
        </w:tc>
        <w:tc>
          <w:tcPr>
            <w:tcW w:w="1980" w:type="dxa"/>
            <w:vAlign w:val="center"/>
          </w:tcPr>
          <w:p w14:paraId="65A95D8C" w14:textId="77777777" w:rsidR="0087206A" w:rsidRDefault="0087206A" w:rsidP="00387F73">
            <w:pPr>
              <w:jc w:val="center"/>
              <w:rPr>
                <w:rFonts w:cs="Arial"/>
              </w:rPr>
            </w:pPr>
            <w:r>
              <w:rPr>
                <w:rFonts w:cs="Arial"/>
              </w:rPr>
              <w:t>Yes</w:t>
            </w:r>
          </w:p>
        </w:tc>
        <w:tc>
          <w:tcPr>
            <w:tcW w:w="1980" w:type="dxa"/>
            <w:vAlign w:val="center"/>
          </w:tcPr>
          <w:p w14:paraId="2D76B6E0" w14:textId="77777777" w:rsidR="0087206A" w:rsidRDefault="0087206A" w:rsidP="00387F73">
            <w:pPr>
              <w:jc w:val="center"/>
              <w:rPr>
                <w:rFonts w:cs="Arial"/>
              </w:rPr>
            </w:pPr>
            <w:r>
              <w:rPr>
                <w:rFonts w:cs="Arial"/>
              </w:rPr>
              <w:t>Yes</w:t>
            </w:r>
          </w:p>
        </w:tc>
      </w:tr>
      <w:tr w:rsidR="0087206A" w14:paraId="19C512A1" w14:textId="77777777" w:rsidTr="00387F73">
        <w:tc>
          <w:tcPr>
            <w:tcW w:w="3415" w:type="dxa"/>
            <w:vAlign w:val="center"/>
          </w:tcPr>
          <w:p w14:paraId="7E5B80AD" w14:textId="4DA0CAD1" w:rsidR="0087206A" w:rsidRDefault="0087206A" w:rsidP="00387F73">
            <w:pPr>
              <w:jc w:val="center"/>
              <w:rPr>
                <w:rFonts w:cs="Arial"/>
              </w:rPr>
            </w:pPr>
            <w:r>
              <w:rPr>
                <w:rFonts w:cs="Arial"/>
              </w:rPr>
              <w:t xml:space="preserve">TSP verifies SHAKEN </w:t>
            </w:r>
            <w:r w:rsidR="00D9596F">
              <w:rPr>
                <w:rFonts w:cs="Arial"/>
              </w:rPr>
              <w:t>I</w:t>
            </w:r>
            <w:r>
              <w:rPr>
                <w:rFonts w:cs="Arial"/>
              </w:rPr>
              <w:t>dentity header</w:t>
            </w:r>
          </w:p>
        </w:tc>
        <w:tc>
          <w:tcPr>
            <w:tcW w:w="1980" w:type="dxa"/>
            <w:vAlign w:val="center"/>
          </w:tcPr>
          <w:p w14:paraId="17646C3B" w14:textId="77777777" w:rsidR="0087206A" w:rsidRDefault="0087206A" w:rsidP="00387F73">
            <w:pPr>
              <w:jc w:val="center"/>
              <w:rPr>
                <w:rFonts w:cs="Arial"/>
              </w:rPr>
            </w:pPr>
            <w:r>
              <w:rPr>
                <w:rFonts w:cs="Arial"/>
              </w:rPr>
              <w:t>Yes</w:t>
            </w:r>
          </w:p>
        </w:tc>
        <w:tc>
          <w:tcPr>
            <w:tcW w:w="1980" w:type="dxa"/>
            <w:vAlign w:val="center"/>
          </w:tcPr>
          <w:p w14:paraId="0298BED2" w14:textId="77777777" w:rsidR="0087206A" w:rsidRDefault="0087206A" w:rsidP="00387F73">
            <w:pPr>
              <w:jc w:val="center"/>
              <w:rPr>
                <w:rFonts w:cs="Arial"/>
              </w:rPr>
            </w:pPr>
            <w:r>
              <w:rPr>
                <w:rFonts w:cs="Arial"/>
              </w:rPr>
              <w:t>Yes</w:t>
            </w:r>
          </w:p>
        </w:tc>
        <w:tc>
          <w:tcPr>
            <w:tcW w:w="1980" w:type="dxa"/>
            <w:vAlign w:val="center"/>
          </w:tcPr>
          <w:p w14:paraId="38DD3849" w14:textId="77777777" w:rsidR="0087206A" w:rsidRDefault="0087206A" w:rsidP="00387F73">
            <w:pPr>
              <w:jc w:val="center"/>
              <w:rPr>
                <w:rFonts w:cs="Arial"/>
              </w:rPr>
            </w:pPr>
            <w:r>
              <w:rPr>
                <w:rFonts w:cs="Arial"/>
              </w:rPr>
              <w:t>Yes</w:t>
            </w:r>
          </w:p>
        </w:tc>
      </w:tr>
      <w:tr w:rsidR="0087206A" w14:paraId="439FB81B" w14:textId="77777777" w:rsidTr="00387F73">
        <w:tc>
          <w:tcPr>
            <w:tcW w:w="3415" w:type="dxa"/>
            <w:vAlign w:val="center"/>
          </w:tcPr>
          <w:p w14:paraId="38686742" w14:textId="77777777" w:rsidR="0087206A" w:rsidRDefault="0087206A" w:rsidP="00387F73">
            <w:pPr>
              <w:jc w:val="center"/>
              <w:rPr>
                <w:rFonts w:cs="Arial"/>
              </w:rPr>
            </w:pPr>
            <w:r>
              <w:rPr>
                <w:rFonts w:cs="Arial"/>
              </w:rPr>
              <w:t>Solution functions without changes to STI-VS function at TSP</w:t>
            </w:r>
          </w:p>
        </w:tc>
        <w:tc>
          <w:tcPr>
            <w:tcW w:w="1980" w:type="dxa"/>
            <w:vAlign w:val="center"/>
          </w:tcPr>
          <w:p w14:paraId="184E0E5E" w14:textId="77777777" w:rsidR="0087206A" w:rsidRDefault="0087206A" w:rsidP="00387F73">
            <w:pPr>
              <w:jc w:val="center"/>
              <w:rPr>
                <w:rFonts w:cs="Arial"/>
              </w:rPr>
            </w:pPr>
            <w:r>
              <w:rPr>
                <w:rFonts w:cs="Arial"/>
              </w:rPr>
              <w:t>Yes</w:t>
            </w:r>
          </w:p>
        </w:tc>
        <w:tc>
          <w:tcPr>
            <w:tcW w:w="1980" w:type="dxa"/>
            <w:vAlign w:val="center"/>
          </w:tcPr>
          <w:p w14:paraId="0589F941" w14:textId="77777777" w:rsidR="0087206A" w:rsidRDefault="0087206A" w:rsidP="00387F73">
            <w:pPr>
              <w:jc w:val="center"/>
              <w:rPr>
                <w:rFonts w:cs="Arial"/>
              </w:rPr>
            </w:pPr>
            <w:r>
              <w:rPr>
                <w:rFonts w:cs="Arial"/>
              </w:rPr>
              <w:t>Yes</w:t>
            </w:r>
          </w:p>
        </w:tc>
        <w:tc>
          <w:tcPr>
            <w:tcW w:w="1980" w:type="dxa"/>
            <w:vAlign w:val="center"/>
          </w:tcPr>
          <w:p w14:paraId="192BE292" w14:textId="77777777" w:rsidR="0087206A" w:rsidRDefault="0087206A" w:rsidP="00387F73">
            <w:pPr>
              <w:jc w:val="center"/>
              <w:rPr>
                <w:rFonts w:cs="Arial"/>
              </w:rPr>
            </w:pPr>
            <w:r>
              <w:rPr>
                <w:rFonts w:cs="Arial"/>
              </w:rPr>
              <w:t>Yes</w:t>
            </w:r>
          </w:p>
        </w:tc>
      </w:tr>
      <w:tr w:rsidR="0087206A" w14:paraId="1132E93C" w14:textId="77777777" w:rsidTr="00387F73">
        <w:tc>
          <w:tcPr>
            <w:tcW w:w="3415" w:type="dxa"/>
            <w:vAlign w:val="center"/>
          </w:tcPr>
          <w:p w14:paraId="6166BF12" w14:textId="77777777" w:rsidR="0087206A" w:rsidRDefault="0087206A" w:rsidP="00387F73">
            <w:pPr>
              <w:jc w:val="center"/>
              <w:rPr>
                <w:rFonts w:cs="Arial"/>
              </w:rPr>
            </w:pPr>
            <w:r>
              <w:rPr>
                <w:rFonts w:cs="Arial"/>
              </w:rPr>
              <w:t>Enterprise identity must be vetted to participate</w:t>
            </w:r>
          </w:p>
        </w:tc>
        <w:tc>
          <w:tcPr>
            <w:tcW w:w="1980" w:type="dxa"/>
            <w:vAlign w:val="center"/>
          </w:tcPr>
          <w:p w14:paraId="3DBCF885" w14:textId="77777777" w:rsidR="0087206A" w:rsidRDefault="0087206A" w:rsidP="00387F73">
            <w:pPr>
              <w:jc w:val="center"/>
              <w:rPr>
                <w:rFonts w:cs="Arial"/>
              </w:rPr>
            </w:pPr>
            <w:r>
              <w:rPr>
                <w:rFonts w:cs="Arial"/>
              </w:rPr>
              <w:t>Yes</w:t>
            </w:r>
          </w:p>
        </w:tc>
        <w:tc>
          <w:tcPr>
            <w:tcW w:w="1980" w:type="dxa"/>
            <w:vAlign w:val="center"/>
          </w:tcPr>
          <w:p w14:paraId="1596DE23" w14:textId="77777777" w:rsidR="0087206A" w:rsidRDefault="0087206A" w:rsidP="00387F73">
            <w:pPr>
              <w:jc w:val="center"/>
              <w:rPr>
                <w:rFonts w:cs="Arial"/>
              </w:rPr>
            </w:pPr>
            <w:r>
              <w:rPr>
                <w:rFonts w:cs="Arial"/>
              </w:rPr>
              <w:t>Yes</w:t>
            </w:r>
          </w:p>
        </w:tc>
        <w:tc>
          <w:tcPr>
            <w:tcW w:w="1980" w:type="dxa"/>
            <w:vAlign w:val="center"/>
          </w:tcPr>
          <w:p w14:paraId="57D493B2" w14:textId="77777777" w:rsidR="0087206A" w:rsidRDefault="0087206A" w:rsidP="00387F73">
            <w:pPr>
              <w:jc w:val="center"/>
              <w:rPr>
                <w:rFonts w:cs="Arial"/>
              </w:rPr>
            </w:pPr>
            <w:r>
              <w:rPr>
                <w:rFonts w:cs="Arial"/>
              </w:rPr>
              <w:t>Yes</w:t>
            </w:r>
          </w:p>
        </w:tc>
      </w:tr>
      <w:tr w:rsidR="0087206A" w14:paraId="3FD5ABC3" w14:textId="77777777" w:rsidTr="00387F73">
        <w:tc>
          <w:tcPr>
            <w:tcW w:w="3415" w:type="dxa"/>
            <w:vAlign w:val="center"/>
          </w:tcPr>
          <w:p w14:paraId="692A66E8" w14:textId="03FD630B" w:rsidR="0087206A" w:rsidRDefault="0087206A" w:rsidP="004F7915">
            <w:pPr>
              <w:jc w:val="center"/>
              <w:rPr>
                <w:rFonts w:cs="Arial"/>
              </w:rPr>
            </w:pPr>
            <w:r>
              <w:rPr>
                <w:rFonts w:cs="Arial"/>
              </w:rPr>
              <w:t xml:space="preserve">Enterprise allocation of TN resources </w:t>
            </w:r>
            <w:r w:rsidR="004F7915">
              <w:rPr>
                <w:rFonts w:cs="Arial"/>
              </w:rPr>
              <w:t>can</w:t>
            </w:r>
            <w:r>
              <w:rPr>
                <w:rFonts w:cs="Arial"/>
              </w:rPr>
              <w:t xml:space="preserve"> be vetted to participate</w:t>
            </w:r>
          </w:p>
        </w:tc>
        <w:tc>
          <w:tcPr>
            <w:tcW w:w="1980" w:type="dxa"/>
            <w:vAlign w:val="center"/>
          </w:tcPr>
          <w:p w14:paraId="1ABAB065" w14:textId="4A4F62E1" w:rsidR="0087206A" w:rsidRDefault="0087206A" w:rsidP="00387F73">
            <w:pPr>
              <w:jc w:val="center"/>
              <w:rPr>
                <w:rFonts w:cs="Arial"/>
              </w:rPr>
            </w:pPr>
            <w:r>
              <w:rPr>
                <w:rFonts w:cs="Arial"/>
              </w:rPr>
              <w:t>Yes</w:t>
            </w:r>
            <w:r w:rsidR="00517082">
              <w:rPr>
                <w:rStyle w:val="FootnoteReference"/>
                <w:rFonts w:cs="Arial"/>
              </w:rPr>
              <w:footnoteReference w:id="3"/>
            </w:r>
          </w:p>
        </w:tc>
        <w:tc>
          <w:tcPr>
            <w:tcW w:w="1980" w:type="dxa"/>
            <w:vAlign w:val="center"/>
          </w:tcPr>
          <w:p w14:paraId="070DCB91" w14:textId="77777777" w:rsidR="0087206A" w:rsidRDefault="0087206A" w:rsidP="00387F73">
            <w:pPr>
              <w:jc w:val="center"/>
              <w:rPr>
                <w:rFonts w:cs="Arial"/>
              </w:rPr>
            </w:pPr>
            <w:r>
              <w:rPr>
                <w:rFonts w:cs="Arial"/>
              </w:rPr>
              <w:t>Yes</w:t>
            </w:r>
          </w:p>
        </w:tc>
        <w:tc>
          <w:tcPr>
            <w:tcW w:w="1980" w:type="dxa"/>
            <w:vAlign w:val="center"/>
          </w:tcPr>
          <w:p w14:paraId="374727FB" w14:textId="77777777" w:rsidR="0087206A" w:rsidRDefault="0087206A" w:rsidP="00387F73">
            <w:pPr>
              <w:jc w:val="center"/>
              <w:rPr>
                <w:rFonts w:cs="Arial"/>
              </w:rPr>
            </w:pPr>
            <w:r>
              <w:rPr>
                <w:rFonts w:cs="Arial"/>
              </w:rPr>
              <w:t>Yes</w:t>
            </w:r>
          </w:p>
        </w:tc>
      </w:tr>
      <w:tr w:rsidR="0087206A" w14:paraId="4693CEB2" w14:textId="77777777" w:rsidTr="00387F73">
        <w:tc>
          <w:tcPr>
            <w:tcW w:w="3415" w:type="dxa"/>
            <w:vAlign w:val="center"/>
          </w:tcPr>
          <w:p w14:paraId="032B410B" w14:textId="77777777" w:rsidR="0087206A" w:rsidRDefault="0087206A" w:rsidP="00387F73">
            <w:pPr>
              <w:jc w:val="center"/>
              <w:rPr>
                <w:rFonts w:cs="Arial"/>
              </w:rPr>
            </w:pPr>
            <w:r>
              <w:rPr>
                <w:rFonts w:cs="Arial"/>
              </w:rPr>
              <w:lastRenderedPageBreak/>
              <w:t>Solution supports multiple vetting agencies</w:t>
            </w:r>
          </w:p>
        </w:tc>
        <w:tc>
          <w:tcPr>
            <w:tcW w:w="1980" w:type="dxa"/>
            <w:vAlign w:val="center"/>
          </w:tcPr>
          <w:p w14:paraId="2D6AF75F" w14:textId="3527F7AC" w:rsidR="0087206A" w:rsidRDefault="0087206A" w:rsidP="00517082">
            <w:pPr>
              <w:jc w:val="center"/>
              <w:rPr>
                <w:rFonts w:cs="Arial"/>
              </w:rPr>
            </w:pPr>
            <w:r>
              <w:rPr>
                <w:rFonts w:cs="Arial"/>
              </w:rPr>
              <w:t>Yes</w:t>
            </w:r>
          </w:p>
        </w:tc>
        <w:tc>
          <w:tcPr>
            <w:tcW w:w="1980" w:type="dxa"/>
            <w:vAlign w:val="center"/>
          </w:tcPr>
          <w:p w14:paraId="7BA0D013" w14:textId="77777777" w:rsidR="0087206A" w:rsidRDefault="0087206A" w:rsidP="00387F73">
            <w:pPr>
              <w:jc w:val="center"/>
              <w:rPr>
                <w:rFonts w:cs="Arial"/>
              </w:rPr>
            </w:pPr>
            <w:r>
              <w:rPr>
                <w:rFonts w:cs="Arial"/>
              </w:rPr>
              <w:t>Yes</w:t>
            </w:r>
          </w:p>
        </w:tc>
        <w:tc>
          <w:tcPr>
            <w:tcW w:w="1980" w:type="dxa"/>
            <w:vAlign w:val="center"/>
          </w:tcPr>
          <w:p w14:paraId="635B7491" w14:textId="77777777" w:rsidR="0087206A" w:rsidRDefault="0087206A" w:rsidP="00387F73">
            <w:pPr>
              <w:jc w:val="center"/>
              <w:rPr>
                <w:rFonts w:cs="Arial"/>
              </w:rPr>
            </w:pPr>
            <w:r>
              <w:rPr>
                <w:rFonts w:cs="Arial"/>
              </w:rPr>
              <w:t>Yes</w:t>
            </w:r>
          </w:p>
        </w:tc>
      </w:tr>
      <w:tr w:rsidR="0087206A" w14:paraId="53941383" w14:textId="77777777" w:rsidTr="00387F73">
        <w:tc>
          <w:tcPr>
            <w:tcW w:w="3415" w:type="dxa"/>
            <w:vAlign w:val="center"/>
          </w:tcPr>
          <w:p w14:paraId="2F6D4B59" w14:textId="77777777" w:rsidR="0087206A" w:rsidRDefault="0087206A" w:rsidP="00387F73">
            <w:pPr>
              <w:jc w:val="center"/>
              <w:rPr>
                <w:rFonts w:cs="Arial"/>
              </w:rPr>
            </w:pPr>
            <w:r>
              <w:rPr>
                <w:rFonts w:cs="Arial"/>
              </w:rPr>
              <w:t>Supports “bring your own number” use cases (enterprise TN used by call center vendor)</w:t>
            </w:r>
          </w:p>
        </w:tc>
        <w:tc>
          <w:tcPr>
            <w:tcW w:w="1980" w:type="dxa"/>
            <w:vAlign w:val="center"/>
          </w:tcPr>
          <w:p w14:paraId="0EF05027" w14:textId="77777777" w:rsidR="0087206A" w:rsidRDefault="0087206A" w:rsidP="00387F73">
            <w:pPr>
              <w:jc w:val="center"/>
              <w:rPr>
                <w:rFonts w:cs="Arial"/>
              </w:rPr>
            </w:pPr>
            <w:r>
              <w:rPr>
                <w:rFonts w:cs="Arial"/>
              </w:rPr>
              <w:t>Yes</w:t>
            </w:r>
          </w:p>
        </w:tc>
        <w:tc>
          <w:tcPr>
            <w:tcW w:w="1980" w:type="dxa"/>
            <w:vAlign w:val="center"/>
          </w:tcPr>
          <w:p w14:paraId="343FB233" w14:textId="77777777" w:rsidR="0087206A" w:rsidRDefault="0087206A" w:rsidP="00387F73">
            <w:pPr>
              <w:jc w:val="center"/>
              <w:rPr>
                <w:rFonts w:cs="Arial"/>
              </w:rPr>
            </w:pPr>
            <w:r>
              <w:rPr>
                <w:rFonts w:cs="Arial"/>
              </w:rPr>
              <w:t>Yes</w:t>
            </w:r>
          </w:p>
        </w:tc>
        <w:tc>
          <w:tcPr>
            <w:tcW w:w="1980" w:type="dxa"/>
            <w:vAlign w:val="center"/>
          </w:tcPr>
          <w:p w14:paraId="0AA413B1" w14:textId="77777777" w:rsidR="0087206A" w:rsidRDefault="0087206A" w:rsidP="00387F73">
            <w:pPr>
              <w:jc w:val="center"/>
              <w:rPr>
                <w:rFonts w:cs="Arial"/>
              </w:rPr>
            </w:pPr>
            <w:r>
              <w:rPr>
                <w:rFonts w:cs="Arial"/>
              </w:rPr>
              <w:t>Yes</w:t>
            </w:r>
          </w:p>
        </w:tc>
      </w:tr>
      <w:tr w:rsidR="0087206A" w14:paraId="451E2ECC" w14:textId="77777777" w:rsidTr="00387F73">
        <w:tc>
          <w:tcPr>
            <w:tcW w:w="3415" w:type="dxa"/>
            <w:vAlign w:val="center"/>
          </w:tcPr>
          <w:p w14:paraId="72BD7ADA" w14:textId="77777777" w:rsidR="0087206A" w:rsidRDefault="0087206A" w:rsidP="00387F73">
            <w:pPr>
              <w:jc w:val="center"/>
              <w:rPr>
                <w:rFonts w:cs="Arial"/>
              </w:rPr>
            </w:pPr>
            <w:r>
              <w:rPr>
                <w:rFonts w:cs="Arial"/>
              </w:rPr>
              <w:t>Supports call-center reallocation of TNs to a new enterprise</w:t>
            </w:r>
          </w:p>
        </w:tc>
        <w:tc>
          <w:tcPr>
            <w:tcW w:w="1980" w:type="dxa"/>
            <w:vAlign w:val="center"/>
          </w:tcPr>
          <w:p w14:paraId="6A1EFD78" w14:textId="77777777" w:rsidR="0087206A" w:rsidRDefault="0087206A" w:rsidP="00387F73">
            <w:pPr>
              <w:jc w:val="center"/>
              <w:rPr>
                <w:rFonts w:cs="Arial"/>
              </w:rPr>
            </w:pPr>
            <w:r>
              <w:rPr>
                <w:rFonts w:cs="Arial"/>
              </w:rPr>
              <w:t>Yes</w:t>
            </w:r>
          </w:p>
        </w:tc>
        <w:tc>
          <w:tcPr>
            <w:tcW w:w="1980" w:type="dxa"/>
            <w:vAlign w:val="center"/>
          </w:tcPr>
          <w:p w14:paraId="41EEE399" w14:textId="77777777" w:rsidR="0087206A" w:rsidRDefault="0087206A" w:rsidP="00387F73">
            <w:pPr>
              <w:jc w:val="center"/>
              <w:rPr>
                <w:rFonts w:cs="Arial"/>
              </w:rPr>
            </w:pPr>
            <w:r>
              <w:rPr>
                <w:rFonts w:cs="Arial"/>
              </w:rPr>
              <w:t>Yes</w:t>
            </w:r>
          </w:p>
        </w:tc>
        <w:tc>
          <w:tcPr>
            <w:tcW w:w="1980" w:type="dxa"/>
            <w:vAlign w:val="center"/>
          </w:tcPr>
          <w:p w14:paraId="049E39DB" w14:textId="77777777" w:rsidR="0087206A" w:rsidRDefault="0087206A" w:rsidP="00387F73">
            <w:pPr>
              <w:jc w:val="center"/>
              <w:rPr>
                <w:rFonts w:cs="Arial"/>
              </w:rPr>
            </w:pPr>
            <w:r>
              <w:rPr>
                <w:rFonts w:cs="Arial"/>
              </w:rPr>
              <w:t>Yes</w:t>
            </w:r>
          </w:p>
        </w:tc>
      </w:tr>
      <w:tr w:rsidR="0087206A" w14:paraId="5C29175F" w14:textId="77777777" w:rsidTr="00387F73">
        <w:tc>
          <w:tcPr>
            <w:tcW w:w="3415" w:type="dxa"/>
            <w:vAlign w:val="center"/>
          </w:tcPr>
          <w:p w14:paraId="31F61057" w14:textId="77777777" w:rsidR="0087206A" w:rsidRDefault="0087206A" w:rsidP="00387F73">
            <w:pPr>
              <w:jc w:val="center"/>
              <w:rPr>
                <w:rFonts w:cs="Arial"/>
              </w:rPr>
            </w:pPr>
            <w:r>
              <w:rPr>
                <w:rFonts w:cs="Arial"/>
              </w:rPr>
              <w:t>Solution can technically coexist with other solutions</w:t>
            </w:r>
            <w:r>
              <w:rPr>
                <w:rStyle w:val="FootnoteReference"/>
                <w:rFonts w:cs="Arial"/>
              </w:rPr>
              <w:footnoteReference w:id="4"/>
            </w:r>
          </w:p>
        </w:tc>
        <w:tc>
          <w:tcPr>
            <w:tcW w:w="1980" w:type="dxa"/>
            <w:vAlign w:val="center"/>
          </w:tcPr>
          <w:p w14:paraId="47DDB757" w14:textId="77777777" w:rsidR="0087206A" w:rsidRDefault="0087206A" w:rsidP="00387F73">
            <w:pPr>
              <w:jc w:val="center"/>
              <w:rPr>
                <w:rFonts w:cs="Arial"/>
              </w:rPr>
            </w:pPr>
            <w:r>
              <w:rPr>
                <w:rFonts w:cs="Arial"/>
              </w:rPr>
              <w:t>Yes</w:t>
            </w:r>
          </w:p>
        </w:tc>
        <w:tc>
          <w:tcPr>
            <w:tcW w:w="1980" w:type="dxa"/>
            <w:vAlign w:val="center"/>
          </w:tcPr>
          <w:p w14:paraId="1FCF675D" w14:textId="77777777" w:rsidR="0087206A" w:rsidRDefault="0087206A" w:rsidP="00387F73">
            <w:pPr>
              <w:jc w:val="center"/>
              <w:rPr>
                <w:rFonts w:cs="Arial"/>
              </w:rPr>
            </w:pPr>
            <w:r>
              <w:rPr>
                <w:rFonts w:cs="Arial"/>
              </w:rPr>
              <w:t>Yes</w:t>
            </w:r>
          </w:p>
        </w:tc>
        <w:tc>
          <w:tcPr>
            <w:tcW w:w="1980" w:type="dxa"/>
            <w:vAlign w:val="center"/>
          </w:tcPr>
          <w:p w14:paraId="72BD1DB1" w14:textId="77777777" w:rsidR="0087206A" w:rsidRDefault="0087206A" w:rsidP="00387F73">
            <w:pPr>
              <w:jc w:val="center"/>
              <w:rPr>
                <w:rFonts w:cs="Arial"/>
              </w:rPr>
            </w:pPr>
            <w:r>
              <w:rPr>
                <w:rFonts w:cs="Arial"/>
              </w:rPr>
              <w:t>Yes</w:t>
            </w:r>
          </w:p>
        </w:tc>
      </w:tr>
      <w:tr w:rsidR="0087206A" w14:paraId="5DF62C0F" w14:textId="77777777" w:rsidTr="00387F73">
        <w:tc>
          <w:tcPr>
            <w:tcW w:w="3415" w:type="dxa"/>
            <w:vAlign w:val="center"/>
          </w:tcPr>
          <w:p w14:paraId="2F726BF5" w14:textId="77777777" w:rsidR="0087206A" w:rsidRDefault="0087206A" w:rsidP="00387F73">
            <w:pPr>
              <w:jc w:val="center"/>
              <w:rPr>
                <w:rFonts w:cs="Arial"/>
              </w:rPr>
            </w:pPr>
            <w:r>
              <w:rPr>
                <w:rFonts w:cs="Arial"/>
              </w:rPr>
              <w:t xml:space="preserve">Supports directly connected enterprise use case: </w:t>
            </w:r>
          </w:p>
          <w:p w14:paraId="53A464AE" w14:textId="77777777" w:rsidR="0087206A" w:rsidRDefault="0087206A" w:rsidP="00387F73">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980" w:type="dxa"/>
            <w:vAlign w:val="center"/>
          </w:tcPr>
          <w:p w14:paraId="64B73669" w14:textId="77777777" w:rsidR="0087206A" w:rsidRDefault="0087206A" w:rsidP="00387F73">
            <w:pPr>
              <w:jc w:val="center"/>
              <w:rPr>
                <w:rFonts w:cs="Arial"/>
              </w:rPr>
            </w:pPr>
            <w:r>
              <w:rPr>
                <w:rFonts w:cs="Arial"/>
              </w:rPr>
              <w:t>Yes</w:t>
            </w:r>
          </w:p>
        </w:tc>
        <w:tc>
          <w:tcPr>
            <w:tcW w:w="1980" w:type="dxa"/>
            <w:vAlign w:val="center"/>
          </w:tcPr>
          <w:p w14:paraId="63AF33C2" w14:textId="77777777" w:rsidR="0087206A" w:rsidRDefault="0087206A" w:rsidP="00387F73">
            <w:pPr>
              <w:jc w:val="center"/>
              <w:rPr>
                <w:rFonts w:cs="Arial"/>
              </w:rPr>
            </w:pPr>
            <w:r>
              <w:rPr>
                <w:rFonts w:cs="Arial"/>
              </w:rPr>
              <w:t>Yes</w:t>
            </w:r>
          </w:p>
        </w:tc>
        <w:tc>
          <w:tcPr>
            <w:tcW w:w="1980" w:type="dxa"/>
            <w:vAlign w:val="center"/>
          </w:tcPr>
          <w:p w14:paraId="53617C9B" w14:textId="77777777" w:rsidR="0087206A" w:rsidRDefault="0087206A" w:rsidP="00387F73">
            <w:pPr>
              <w:jc w:val="center"/>
              <w:rPr>
                <w:rFonts w:cs="Arial"/>
              </w:rPr>
            </w:pPr>
            <w:r>
              <w:rPr>
                <w:rFonts w:cs="Arial"/>
              </w:rPr>
              <w:t>Yes</w:t>
            </w:r>
          </w:p>
        </w:tc>
      </w:tr>
      <w:tr w:rsidR="0087206A" w14:paraId="112B2E50" w14:textId="77777777" w:rsidTr="00387F73">
        <w:tc>
          <w:tcPr>
            <w:tcW w:w="3415" w:type="dxa"/>
            <w:vAlign w:val="center"/>
          </w:tcPr>
          <w:p w14:paraId="48052EEA" w14:textId="77777777" w:rsidR="0087206A" w:rsidRDefault="0087206A" w:rsidP="00387F73">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980" w:type="dxa"/>
            <w:vAlign w:val="center"/>
          </w:tcPr>
          <w:p w14:paraId="09E59D54" w14:textId="77777777" w:rsidR="0087206A" w:rsidRDefault="0087206A" w:rsidP="00387F73">
            <w:pPr>
              <w:jc w:val="center"/>
              <w:rPr>
                <w:rFonts w:cs="Arial"/>
              </w:rPr>
            </w:pPr>
            <w:r>
              <w:rPr>
                <w:rFonts w:cs="Arial"/>
              </w:rPr>
              <w:t>Yes</w:t>
            </w:r>
          </w:p>
        </w:tc>
        <w:tc>
          <w:tcPr>
            <w:tcW w:w="1980" w:type="dxa"/>
            <w:vAlign w:val="center"/>
          </w:tcPr>
          <w:p w14:paraId="48D15C95" w14:textId="77777777" w:rsidR="0087206A" w:rsidRDefault="0087206A" w:rsidP="00387F73">
            <w:pPr>
              <w:jc w:val="center"/>
              <w:rPr>
                <w:rFonts w:cs="Arial"/>
              </w:rPr>
            </w:pPr>
            <w:r>
              <w:rPr>
                <w:rFonts w:cs="Arial"/>
              </w:rPr>
              <w:t>Yes</w:t>
            </w:r>
          </w:p>
        </w:tc>
        <w:tc>
          <w:tcPr>
            <w:tcW w:w="1980" w:type="dxa"/>
            <w:vAlign w:val="center"/>
          </w:tcPr>
          <w:p w14:paraId="22D99B65" w14:textId="77777777" w:rsidR="0087206A" w:rsidRDefault="0087206A" w:rsidP="00387F73">
            <w:pPr>
              <w:jc w:val="center"/>
              <w:rPr>
                <w:rFonts w:cs="Arial"/>
              </w:rPr>
            </w:pPr>
            <w:r>
              <w:rPr>
                <w:rFonts w:cs="Arial"/>
              </w:rPr>
              <w:t>Yes</w:t>
            </w:r>
          </w:p>
        </w:tc>
      </w:tr>
      <w:tr w:rsidR="0087206A" w14:paraId="208ED467" w14:textId="77777777" w:rsidTr="00387F73">
        <w:tc>
          <w:tcPr>
            <w:tcW w:w="3415" w:type="dxa"/>
            <w:vAlign w:val="center"/>
          </w:tcPr>
          <w:p w14:paraId="409C6484" w14:textId="77777777" w:rsidR="0087206A" w:rsidRDefault="0087206A" w:rsidP="00387F73">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980" w:type="dxa"/>
            <w:vAlign w:val="center"/>
          </w:tcPr>
          <w:p w14:paraId="4AC8F14C" w14:textId="77777777" w:rsidR="0087206A" w:rsidRDefault="0087206A" w:rsidP="00387F73">
            <w:pPr>
              <w:jc w:val="center"/>
              <w:rPr>
                <w:rFonts w:cs="Arial"/>
              </w:rPr>
            </w:pPr>
            <w:r>
              <w:rPr>
                <w:rFonts w:cs="Arial"/>
              </w:rPr>
              <w:t>Yes</w:t>
            </w:r>
          </w:p>
        </w:tc>
        <w:tc>
          <w:tcPr>
            <w:tcW w:w="1980" w:type="dxa"/>
            <w:vAlign w:val="center"/>
          </w:tcPr>
          <w:p w14:paraId="19DDC62E" w14:textId="77777777" w:rsidR="0087206A" w:rsidRDefault="0087206A" w:rsidP="00387F73">
            <w:pPr>
              <w:jc w:val="center"/>
              <w:rPr>
                <w:rFonts w:cs="Arial"/>
              </w:rPr>
            </w:pPr>
            <w:r>
              <w:rPr>
                <w:rFonts w:cs="Arial"/>
              </w:rPr>
              <w:t>Yes</w:t>
            </w:r>
          </w:p>
        </w:tc>
        <w:tc>
          <w:tcPr>
            <w:tcW w:w="1980" w:type="dxa"/>
            <w:vAlign w:val="center"/>
          </w:tcPr>
          <w:p w14:paraId="6C0896D2" w14:textId="19BA1530" w:rsidR="0087206A" w:rsidRDefault="00F2633F" w:rsidP="00387F73">
            <w:pPr>
              <w:jc w:val="center"/>
              <w:rPr>
                <w:rFonts w:cs="Arial"/>
              </w:rPr>
            </w:pPr>
            <w:r>
              <w:rPr>
                <w:rFonts w:cs="Arial"/>
              </w:rPr>
              <w:t>Yes</w:t>
            </w:r>
            <w:r w:rsidR="0087206A">
              <w:rPr>
                <w:rStyle w:val="FootnoteReference"/>
                <w:rFonts w:cs="Arial"/>
              </w:rPr>
              <w:footnoteReference w:id="5"/>
            </w:r>
          </w:p>
        </w:tc>
      </w:tr>
      <w:tr w:rsidR="0087206A" w14:paraId="589DC539" w14:textId="77777777" w:rsidTr="00387F73">
        <w:tc>
          <w:tcPr>
            <w:tcW w:w="3415" w:type="dxa"/>
            <w:vAlign w:val="center"/>
          </w:tcPr>
          <w:p w14:paraId="22772C4A" w14:textId="0A5DE3D7" w:rsidR="0087206A" w:rsidRDefault="0087206A" w:rsidP="00387F73">
            <w:pPr>
              <w:jc w:val="center"/>
              <w:rPr>
                <w:rFonts w:cs="Arial"/>
              </w:rPr>
            </w:pPr>
            <w:r>
              <w:rPr>
                <w:rFonts w:cs="Arial"/>
              </w:rPr>
              <w:t xml:space="preserve">Functions without requiring enterprise </w:t>
            </w:r>
            <w:r w:rsidR="0025385E">
              <w:rPr>
                <w:rFonts w:cs="Arial"/>
              </w:rPr>
              <w:t xml:space="preserve">(or designated agent) </w:t>
            </w:r>
            <w:r>
              <w:rPr>
                <w:rFonts w:cs="Arial"/>
              </w:rPr>
              <w:t>to sign each call</w:t>
            </w:r>
          </w:p>
        </w:tc>
        <w:tc>
          <w:tcPr>
            <w:tcW w:w="1980" w:type="dxa"/>
            <w:vAlign w:val="center"/>
          </w:tcPr>
          <w:p w14:paraId="50EAE78D" w14:textId="77777777" w:rsidR="0087206A" w:rsidRDefault="0087206A" w:rsidP="00387F73">
            <w:pPr>
              <w:jc w:val="center"/>
              <w:rPr>
                <w:rFonts w:cs="Arial"/>
              </w:rPr>
            </w:pPr>
            <w:r>
              <w:rPr>
                <w:rFonts w:cs="Arial"/>
              </w:rPr>
              <w:t>No</w:t>
            </w:r>
          </w:p>
        </w:tc>
        <w:tc>
          <w:tcPr>
            <w:tcW w:w="1980" w:type="dxa"/>
            <w:vAlign w:val="center"/>
          </w:tcPr>
          <w:p w14:paraId="5EC1EFCD" w14:textId="282D531A" w:rsidR="0087206A" w:rsidRDefault="0087206A" w:rsidP="00387F73">
            <w:pPr>
              <w:jc w:val="center"/>
              <w:rPr>
                <w:rFonts w:cs="Arial"/>
              </w:rPr>
            </w:pPr>
            <w:r>
              <w:rPr>
                <w:rFonts w:cs="Arial"/>
              </w:rPr>
              <w:t>No</w:t>
            </w:r>
            <w:r w:rsidR="00F24F00">
              <w:rPr>
                <w:rStyle w:val="FootnoteReference"/>
                <w:rFonts w:cs="Arial"/>
              </w:rPr>
              <w:footnoteReference w:id="6"/>
            </w:r>
          </w:p>
        </w:tc>
        <w:tc>
          <w:tcPr>
            <w:tcW w:w="1980" w:type="dxa"/>
            <w:vAlign w:val="center"/>
          </w:tcPr>
          <w:p w14:paraId="511974AC" w14:textId="77777777" w:rsidR="0087206A" w:rsidRDefault="0087206A" w:rsidP="00387F73">
            <w:pPr>
              <w:jc w:val="center"/>
              <w:rPr>
                <w:rFonts w:cs="Arial"/>
              </w:rPr>
            </w:pPr>
            <w:r>
              <w:rPr>
                <w:rFonts w:cs="Arial"/>
              </w:rPr>
              <w:t>Yes</w:t>
            </w:r>
          </w:p>
        </w:tc>
      </w:tr>
      <w:tr w:rsidR="0087206A" w14:paraId="2BCCCCB9" w14:textId="77777777" w:rsidTr="00387F73">
        <w:tc>
          <w:tcPr>
            <w:tcW w:w="3415" w:type="dxa"/>
            <w:vAlign w:val="center"/>
          </w:tcPr>
          <w:p w14:paraId="37A3F446" w14:textId="77777777" w:rsidR="0087206A" w:rsidRDefault="0087206A" w:rsidP="00387F73">
            <w:pPr>
              <w:jc w:val="center"/>
              <w:rPr>
                <w:rFonts w:cs="Arial"/>
              </w:rPr>
            </w:pPr>
            <w:r>
              <w:rPr>
                <w:rFonts w:cs="Arial"/>
              </w:rPr>
              <w:t>TSP option to access enterprise rich call data</w:t>
            </w:r>
          </w:p>
        </w:tc>
        <w:tc>
          <w:tcPr>
            <w:tcW w:w="1980" w:type="dxa"/>
            <w:vAlign w:val="center"/>
          </w:tcPr>
          <w:p w14:paraId="27DEEFBB" w14:textId="77777777" w:rsidR="0087206A" w:rsidRDefault="0087206A" w:rsidP="00387F73">
            <w:pPr>
              <w:jc w:val="center"/>
              <w:rPr>
                <w:rFonts w:cs="Arial"/>
              </w:rPr>
            </w:pPr>
            <w:r>
              <w:rPr>
                <w:rFonts w:cs="Arial"/>
              </w:rPr>
              <w:t>Yes</w:t>
            </w:r>
            <w:r>
              <w:rPr>
                <w:rStyle w:val="FootnoteReference"/>
                <w:rFonts w:cs="Arial"/>
              </w:rPr>
              <w:footnoteReference w:id="7"/>
            </w:r>
          </w:p>
        </w:tc>
        <w:tc>
          <w:tcPr>
            <w:tcW w:w="1980" w:type="dxa"/>
            <w:vAlign w:val="center"/>
          </w:tcPr>
          <w:p w14:paraId="2E9FABA8" w14:textId="77777777" w:rsidR="0087206A" w:rsidRDefault="0087206A" w:rsidP="00387F73">
            <w:pPr>
              <w:jc w:val="center"/>
              <w:rPr>
                <w:rFonts w:cs="Arial"/>
              </w:rPr>
            </w:pPr>
            <w:r>
              <w:rPr>
                <w:rFonts w:cs="Arial"/>
              </w:rPr>
              <w:t>No</w:t>
            </w:r>
          </w:p>
        </w:tc>
        <w:tc>
          <w:tcPr>
            <w:tcW w:w="1980" w:type="dxa"/>
            <w:vAlign w:val="center"/>
          </w:tcPr>
          <w:p w14:paraId="3E8913E3" w14:textId="77777777" w:rsidR="0087206A" w:rsidRDefault="0087206A" w:rsidP="00387F73">
            <w:pPr>
              <w:jc w:val="center"/>
              <w:rPr>
                <w:rFonts w:cs="Arial"/>
              </w:rPr>
            </w:pPr>
            <w:r>
              <w:rPr>
                <w:rFonts w:cs="Arial"/>
              </w:rPr>
              <w:t>No</w:t>
            </w:r>
          </w:p>
        </w:tc>
      </w:tr>
      <w:tr w:rsidR="0087206A" w14:paraId="3363C5F4" w14:textId="77777777" w:rsidTr="00387F73">
        <w:tc>
          <w:tcPr>
            <w:tcW w:w="3415" w:type="dxa"/>
            <w:vAlign w:val="center"/>
          </w:tcPr>
          <w:p w14:paraId="6AD6A634" w14:textId="77777777" w:rsidR="0087206A" w:rsidRPr="00853308" w:rsidRDefault="0087206A" w:rsidP="00387F73">
            <w:pPr>
              <w:jc w:val="center"/>
              <w:rPr>
                <w:rFonts w:cs="Arial"/>
                <w:highlight w:val="yellow"/>
              </w:rPr>
            </w:pPr>
            <w:r w:rsidRPr="00853308">
              <w:rPr>
                <w:rFonts w:cs="Arial"/>
              </w:rPr>
              <w:lastRenderedPageBreak/>
              <w:t>OSP option to access enterprise rich call data</w:t>
            </w:r>
          </w:p>
        </w:tc>
        <w:tc>
          <w:tcPr>
            <w:tcW w:w="1980" w:type="dxa"/>
            <w:vAlign w:val="center"/>
          </w:tcPr>
          <w:p w14:paraId="47B3004B" w14:textId="77777777" w:rsidR="0087206A" w:rsidRPr="00853308" w:rsidRDefault="0087206A" w:rsidP="00387F73">
            <w:pPr>
              <w:jc w:val="center"/>
              <w:rPr>
                <w:rFonts w:cs="Arial"/>
              </w:rPr>
            </w:pPr>
            <w:r w:rsidRPr="00853308">
              <w:rPr>
                <w:rFonts w:cs="Arial"/>
              </w:rPr>
              <w:t>Yes</w:t>
            </w:r>
          </w:p>
        </w:tc>
        <w:tc>
          <w:tcPr>
            <w:tcW w:w="1980" w:type="dxa"/>
            <w:vAlign w:val="center"/>
          </w:tcPr>
          <w:p w14:paraId="391F0A33" w14:textId="12CB817F" w:rsidR="0087206A" w:rsidRPr="00853308" w:rsidRDefault="00063016" w:rsidP="00387F73">
            <w:pPr>
              <w:jc w:val="center"/>
              <w:rPr>
                <w:rFonts w:cs="Arial"/>
              </w:rPr>
            </w:pPr>
            <w:r>
              <w:rPr>
                <w:rFonts w:cs="Arial"/>
              </w:rPr>
              <w:t>Yes</w:t>
            </w:r>
            <w:r>
              <w:rPr>
                <w:rStyle w:val="FootnoteReference"/>
                <w:rFonts w:cs="Arial"/>
              </w:rPr>
              <w:footnoteReference w:id="8"/>
            </w:r>
          </w:p>
        </w:tc>
        <w:tc>
          <w:tcPr>
            <w:tcW w:w="1980" w:type="dxa"/>
            <w:vAlign w:val="center"/>
          </w:tcPr>
          <w:p w14:paraId="76D70EE8" w14:textId="77777777" w:rsidR="0087206A" w:rsidRPr="00853308" w:rsidRDefault="0087206A" w:rsidP="00387F73">
            <w:pPr>
              <w:jc w:val="center"/>
              <w:rPr>
                <w:rFonts w:cs="Arial"/>
              </w:rPr>
            </w:pPr>
            <w:r w:rsidRPr="00853308">
              <w:rPr>
                <w:rFonts w:cs="Arial"/>
              </w:rPr>
              <w:t>Yes</w:t>
            </w:r>
            <w:r w:rsidRPr="00853308">
              <w:rPr>
                <w:rStyle w:val="FootnoteReference"/>
                <w:rFonts w:cs="Arial"/>
              </w:rPr>
              <w:footnoteReference w:id="9"/>
            </w:r>
          </w:p>
        </w:tc>
      </w:tr>
      <w:tr w:rsidR="0087206A" w14:paraId="4AB584CE" w14:textId="77777777" w:rsidTr="00387F73">
        <w:tc>
          <w:tcPr>
            <w:tcW w:w="3415" w:type="dxa"/>
            <w:vAlign w:val="center"/>
          </w:tcPr>
          <w:p w14:paraId="15ADFC3B" w14:textId="77777777" w:rsidR="0087206A" w:rsidRDefault="0087206A" w:rsidP="00387F73">
            <w:pPr>
              <w:jc w:val="center"/>
              <w:rPr>
                <w:rFonts w:cs="Arial"/>
              </w:rPr>
            </w:pPr>
            <w:r w:rsidRPr="00853308">
              <w:rPr>
                <w:rFonts w:cs="Arial"/>
              </w:rPr>
              <w:t>Uses SHAKEN STI Certificates</w:t>
            </w:r>
          </w:p>
        </w:tc>
        <w:tc>
          <w:tcPr>
            <w:tcW w:w="1980" w:type="dxa"/>
            <w:vAlign w:val="center"/>
          </w:tcPr>
          <w:p w14:paraId="4EB22E10" w14:textId="77777777" w:rsidR="0087206A" w:rsidRDefault="0087206A" w:rsidP="00387F73">
            <w:pPr>
              <w:jc w:val="center"/>
              <w:rPr>
                <w:rFonts w:cs="Arial"/>
              </w:rPr>
            </w:pPr>
            <w:r>
              <w:rPr>
                <w:rFonts w:cs="Arial"/>
              </w:rPr>
              <w:t>Yes</w:t>
            </w:r>
          </w:p>
        </w:tc>
        <w:tc>
          <w:tcPr>
            <w:tcW w:w="1980" w:type="dxa"/>
            <w:vAlign w:val="center"/>
          </w:tcPr>
          <w:p w14:paraId="249DF25B" w14:textId="77777777" w:rsidR="0087206A" w:rsidRDefault="0087206A" w:rsidP="00387F73">
            <w:pPr>
              <w:jc w:val="center"/>
              <w:rPr>
                <w:rFonts w:cs="Arial"/>
              </w:rPr>
            </w:pPr>
            <w:r>
              <w:rPr>
                <w:rFonts w:cs="Arial"/>
              </w:rPr>
              <w:t>No</w:t>
            </w:r>
            <w:r>
              <w:rPr>
                <w:rStyle w:val="FootnoteReference"/>
                <w:rFonts w:cs="Arial"/>
              </w:rPr>
              <w:footnoteReference w:id="10"/>
            </w:r>
          </w:p>
        </w:tc>
        <w:tc>
          <w:tcPr>
            <w:tcW w:w="1980" w:type="dxa"/>
            <w:vAlign w:val="center"/>
          </w:tcPr>
          <w:p w14:paraId="5A675F07" w14:textId="24339B50" w:rsidR="0087206A" w:rsidRDefault="00F2633F" w:rsidP="00387F73">
            <w:pPr>
              <w:jc w:val="center"/>
              <w:rPr>
                <w:rFonts w:cs="Arial"/>
              </w:rPr>
            </w:pPr>
            <w:r>
              <w:rPr>
                <w:rFonts w:cs="Arial"/>
              </w:rPr>
              <w:t>No</w:t>
            </w:r>
          </w:p>
        </w:tc>
      </w:tr>
      <w:tr w:rsidR="00F2633F" w14:paraId="439FA604" w14:textId="77777777" w:rsidTr="00387F73">
        <w:tc>
          <w:tcPr>
            <w:tcW w:w="3415" w:type="dxa"/>
            <w:vAlign w:val="center"/>
          </w:tcPr>
          <w:p w14:paraId="522BB82E" w14:textId="7F5DE76C" w:rsidR="00F2633F" w:rsidRPr="00853308" w:rsidRDefault="00896827" w:rsidP="00387F73">
            <w:pPr>
              <w:jc w:val="center"/>
              <w:rPr>
                <w:rFonts w:cs="Arial"/>
              </w:rPr>
            </w:pPr>
            <w:r>
              <w:rPr>
                <w:rFonts w:cs="Arial"/>
              </w:rPr>
              <w:t>Ported numbers take effect immediately</w:t>
            </w:r>
          </w:p>
        </w:tc>
        <w:tc>
          <w:tcPr>
            <w:tcW w:w="1980" w:type="dxa"/>
            <w:vAlign w:val="center"/>
          </w:tcPr>
          <w:p w14:paraId="72459D24" w14:textId="4E294412" w:rsidR="00F2633F" w:rsidRDefault="00F2633F" w:rsidP="00387F73">
            <w:pPr>
              <w:jc w:val="center"/>
              <w:rPr>
                <w:rFonts w:cs="Arial"/>
              </w:rPr>
            </w:pPr>
            <w:r>
              <w:rPr>
                <w:rFonts w:cs="Arial"/>
              </w:rPr>
              <w:t>Yes</w:t>
            </w:r>
          </w:p>
        </w:tc>
        <w:tc>
          <w:tcPr>
            <w:tcW w:w="1980" w:type="dxa"/>
            <w:vAlign w:val="center"/>
          </w:tcPr>
          <w:p w14:paraId="73AA6583" w14:textId="005C5539" w:rsidR="00F2633F" w:rsidRDefault="00F2633F" w:rsidP="00387F73">
            <w:pPr>
              <w:jc w:val="center"/>
              <w:rPr>
                <w:rFonts w:cs="Arial"/>
              </w:rPr>
            </w:pPr>
            <w:r>
              <w:rPr>
                <w:rFonts w:cs="Arial"/>
              </w:rPr>
              <w:t>Yes</w:t>
            </w:r>
          </w:p>
        </w:tc>
        <w:tc>
          <w:tcPr>
            <w:tcW w:w="1980" w:type="dxa"/>
            <w:vAlign w:val="center"/>
          </w:tcPr>
          <w:p w14:paraId="6B05411B" w14:textId="33A89762" w:rsidR="00F2633F" w:rsidDel="00F2633F" w:rsidRDefault="00F2633F" w:rsidP="00387F73">
            <w:pPr>
              <w:jc w:val="center"/>
              <w:rPr>
                <w:rFonts w:cs="Arial"/>
              </w:rPr>
            </w:pPr>
            <w:r>
              <w:rPr>
                <w:rFonts w:cs="Arial"/>
              </w:rPr>
              <w:t>Yes</w:t>
            </w:r>
          </w:p>
        </w:tc>
      </w:tr>
    </w:tbl>
    <w:p w14:paraId="681AFB17" w14:textId="48FAFE6F" w:rsidR="001F2162" w:rsidRPr="004B443F" w:rsidRDefault="001F2162" w:rsidP="004B443F"/>
    <w:sectPr w:rsidR="001F2162" w:rsidRPr="004B443F">
      <w:head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47BCF" w14:textId="77777777" w:rsidR="009D29F8" w:rsidRDefault="009D29F8">
      <w:r>
        <w:separator/>
      </w:r>
    </w:p>
  </w:endnote>
  <w:endnote w:type="continuationSeparator" w:id="0">
    <w:p w14:paraId="09E6F4D1" w14:textId="77777777" w:rsidR="009D29F8" w:rsidRDefault="009D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3E22" w14:textId="46003FC9" w:rsidR="00FF401D" w:rsidRDefault="00FF401D">
    <w:pPr>
      <w:pStyle w:val="Footer"/>
      <w:jc w:val="center"/>
    </w:pPr>
    <w:r>
      <w:rPr>
        <w:rStyle w:val="PageNumber"/>
      </w:rPr>
      <w:fldChar w:fldCharType="begin"/>
    </w:r>
    <w:r>
      <w:rPr>
        <w:rStyle w:val="PageNumber"/>
      </w:rPr>
      <w:instrText xml:space="preserve"> PAGE </w:instrText>
    </w:r>
    <w:r>
      <w:rPr>
        <w:rStyle w:val="PageNumber"/>
      </w:rPr>
      <w:fldChar w:fldCharType="separate"/>
    </w:r>
    <w:r w:rsidR="004926E9">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8866" w14:textId="1C92AD2F" w:rsidR="00FF401D" w:rsidRDefault="00FF401D">
    <w:pPr>
      <w:pStyle w:val="Footer"/>
      <w:jc w:val="center"/>
    </w:pPr>
    <w:r>
      <w:rPr>
        <w:rStyle w:val="PageNumber"/>
      </w:rPr>
      <w:fldChar w:fldCharType="begin"/>
    </w:r>
    <w:r>
      <w:rPr>
        <w:rStyle w:val="PageNumber"/>
      </w:rPr>
      <w:instrText xml:space="preserve"> PAGE </w:instrText>
    </w:r>
    <w:r>
      <w:rPr>
        <w:rStyle w:val="PageNumber"/>
      </w:rPr>
      <w:fldChar w:fldCharType="separate"/>
    </w:r>
    <w:r w:rsidR="004926E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89E5F" w14:textId="77777777" w:rsidR="009D29F8" w:rsidRDefault="009D29F8">
      <w:r>
        <w:separator/>
      </w:r>
    </w:p>
  </w:footnote>
  <w:footnote w:type="continuationSeparator" w:id="0">
    <w:p w14:paraId="1FF4EE9A" w14:textId="77777777" w:rsidR="009D29F8" w:rsidRDefault="009D29F8">
      <w:r>
        <w:continuationSeparator/>
      </w:r>
    </w:p>
  </w:footnote>
  <w:footnote w:id="1">
    <w:p w14:paraId="0DBCB6AF" w14:textId="1284654B" w:rsidR="00FF401D" w:rsidRDefault="00FF401D">
      <w:pPr>
        <w:pStyle w:val="FootnoteText"/>
      </w:pPr>
      <w:r>
        <w:rPr>
          <w:rStyle w:val="FootnoteReference"/>
        </w:rPr>
        <w:footnoteRef/>
      </w:r>
      <w:r>
        <w:t xml:space="preserve"> This column represents all three delegate certificate models mentioned above; (1) Delegated Certificates; (2) Lemon Twist; and (3) Enterprise Certificates.</w:t>
      </w:r>
    </w:p>
  </w:footnote>
  <w:footnote w:id="2">
    <w:p w14:paraId="37BAE170" w14:textId="2C918526" w:rsidR="00FF401D" w:rsidRDefault="00FF401D">
      <w:pPr>
        <w:pStyle w:val="FootnoteText"/>
      </w:pPr>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p>
  </w:footnote>
  <w:footnote w:id="3">
    <w:p w14:paraId="629120C9" w14:textId="6E872BC9" w:rsidR="00FF401D" w:rsidRDefault="00FF401D">
      <w:pPr>
        <w:pStyle w:val="FootnoteText"/>
      </w:pPr>
      <w:r>
        <w:rPr>
          <w:rStyle w:val="FootnoteReference"/>
        </w:rPr>
        <w:footnoteRef/>
      </w:r>
      <w:r>
        <w:t xml:space="preserve"> The Enterprise Certificates proposal does not require TN Authentication lists.</w:t>
      </w:r>
    </w:p>
  </w:footnote>
  <w:footnote w:id="4">
    <w:p w14:paraId="29C04A4D" w14:textId="77777777" w:rsidR="00FF401D" w:rsidRDefault="00FF401D" w:rsidP="0087206A">
      <w:pPr>
        <w:pStyle w:val="FootnoteText"/>
      </w:pPr>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p>
  </w:footnote>
  <w:footnote w:id="5">
    <w:p w14:paraId="50EF4510" w14:textId="601C7A12" w:rsidR="00FF401D" w:rsidRDefault="00FF401D" w:rsidP="0087206A">
      <w:pPr>
        <w:pStyle w:val="FootnoteText"/>
      </w:pPr>
      <w:r w:rsidRPr="004F7915">
        <w:rPr>
          <w:rStyle w:val="FootnoteReference"/>
        </w:rPr>
        <w:footnoteRef/>
      </w:r>
      <w:r w:rsidRPr="004F7915">
        <w:t xml:space="preserve"> </w:t>
      </w:r>
      <w:r w:rsidRPr="004F7915">
        <w:rPr>
          <w:rFonts w:cs="Arial"/>
          <w:sz w:val="20"/>
        </w:rPr>
        <w:t>Information is stored about the chain of entities that have delegated a TN, and which of these entities are allowed to originate a call rather than relay the call.  This will allow the OSP to identify the source of the call in a complex call origination use-cases.</w:t>
      </w:r>
    </w:p>
  </w:footnote>
  <w:footnote w:id="6">
    <w:p w14:paraId="6DD9C996" w14:textId="0C73CA29" w:rsidR="00FF401D" w:rsidRDefault="00FF401D">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5960FE56" w:rsidR="00FF401D" w:rsidRDefault="00FF401D" w:rsidP="0087206A">
      <w:pPr>
        <w:pStyle w:val="FootnoteText"/>
      </w:pPr>
      <w:r>
        <w:rPr>
          <w:rStyle w:val="FootnoteReference"/>
        </w:rPr>
        <w:footnoteRef/>
      </w:r>
      <w:r>
        <w:t xml:space="preserve"> Enterprise can add rich call data (rcd) Identity header signed with delegated-certificate.  TSP can optionally use the rcd claims provided by the enterprise on a call-by-call basis to inform both analytics and call validation treatment functions.</w:t>
      </w:r>
    </w:p>
  </w:footnote>
  <w:footnote w:id="8">
    <w:p w14:paraId="24177D9A" w14:textId="790A191B" w:rsidR="00FF401D" w:rsidRPr="004F7915" w:rsidRDefault="00FF401D">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independent of its use as an input to attestation.  Attestation and validation of any “orig” claim is solely based on the OSP’s determination as populated in the SHAKEN Identity header.”</w:t>
      </w:r>
    </w:p>
  </w:footnote>
  <w:footnote w:id="9">
    <w:p w14:paraId="5FACCA47" w14:textId="77777777" w:rsidR="00FF401D" w:rsidRPr="00EA4A65" w:rsidRDefault="00FF401D" w:rsidP="0087206A">
      <w:pPr>
        <w:pStyle w:val="FootnoteText"/>
        <w:rPr>
          <w:lang w:val="en-GB"/>
        </w:rPr>
      </w:pPr>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p>
  </w:footnote>
  <w:footnote w:id="10">
    <w:p w14:paraId="02D8F6A4" w14:textId="3F83F648" w:rsidR="00FF401D" w:rsidRDefault="00FF401D"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 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E324" w14:textId="77777777" w:rsidR="00FF401D" w:rsidRDefault="00FF401D"/>
  <w:p w14:paraId="4C37DF0D" w14:textId="77777777" w:rsidR="00FF401D" w:rsidRDefault="00FF40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F75D" w14:textId="77777777" w:rsidR="00FF401D" w:rsidRPr="00D82162" w:rsidRDefault="00FF401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D0FF" w14:textId="77777777" w:rsidR="00FF401D" w:rsidRDefault="00FF401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4439" w14:textId="77777777" w:rsidR="00FF401D" w:rsidRPr="00BC47C9" w:rsidRDefault="00FF401D">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740C316B" w14:textId="77777777" w:rsidR="00FF401D" w:rsidRPr="00BC47C9" w:rsidRDefault="00FF401D">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FF401D" w:rsidRPr="00BC47C9" w:rsidRDefault="00FF401D">
    <w:pPr>
      <w:pStyle w:val="BANNER1"/>
      <w:spacing w:before="120"/>
      <w:rPr>
        <w:rFonts w:ascii="Arial" w:hAnsi="Arial" w:cs="Arial"/>
        <w:sz w:val="24"/>
      </w:rPr>
    </w:pPr>
  </w:p>
  <w:p w14:paraId="713882A5" w14:textId="77777777" w:rsidR="00FF401D" w:rsidRDefault="00FF401D"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FF401D" w:rsidRDefault="00FF401D" w:rsidP="00802F70">
    <w:pPr>
      <w:ind w:right="-288"/>
      <w:jc w:val="center"/>
      <w:outlineLvl w:val="0"/>
      <w:rPr>
        <w:rFonts w:cs="Arial"/>
        <w:b/>
        <w:bCs/>
        <w:iCs/>
        <w:sz w:val="36"/>
      </w:rPr>
    </w:pPr>
    <w:r>
      <w:rPr>
        <w:rFonts w:cs="Arial"/>
        <w:b/>
        <w:bCs/>
        <w:iCs/>
        <w:sz w:val="36"/>
      </w:rPr>
      <w:t xml:space="preserve">for Enterprises and Business Entities </w:t>
    </w:r>
  </w:p>
  <w:p w14:paraId="28B8CF6F" w14:textId="77777777" w:rsidR="00FF401D" w:rsidRDefault="00FF401D" w:rsidP="00802F70">
    <w:pPr>
      <w:ind w:right="-288"/>
      <w:jc w:val="center"/>
      <w:outlineLvl w:val="0"/>
      <w:rPr>
        <w:rFonts w:cs="Arial"/>
        <w:b/>
        <w:bCs/>
        <w:iCs/>
        <w:sz w:val="36"/>
      </w:rPr>
    </w:pPr>
    <w:r>
      <w:rPr>
        <w:rFonts w:cs="Arial"/>
        <w:b/>
        <w:bCs/>
        <w:iCs/>
        <w:sz w:val="36"/>
      </w:rPr>
      <w:t>with Multi-Homing and Other Arrangements</w:t>
    </w:r>
  </w:p>
  <w:p w14:paraId="54FAA3B3" w14:textId="77777777" w:rsidR="00FF401D" w:rsidRDefault="00FF401D" w:rsidP="009B1325">
    <w:pPr>
      <w:ind w:right="-288"/>
      <w:jc w:val="center"/>
      <w:outlineLvl w:val="0"/>
      <w:rPr>
        <w:rFonts w:cs="Arial"/>
        <w:b/>
        <w:bCs/>
        <w:iCs/>
        <w:sz w:val="36"/>
      </w:rPr>
    </w:pPr>
  </w:p>
  <w:p w14:paraId="2E66E3B8" w14:textId="77777777" w:rsidR="00FF401D" w:rsidRPr="00BC47C9" w:rsidRDefault="00FF401D">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FA34" w14:textId="77777777" w:rsidR="00FF401D" w:rsidRPr="00BC47C9" w:rsidRDefault="00FF401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5"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6"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5"/>
  </w:num>
  <w:num w:numId="15">
    <w:abstractNumId w:val="38"/>
  </w:num>
  <w:num w:numId="16">
    <w:abstractNumId w:val="29"/>
  </w:num>
  <w:num w:numId="17">
    <w:abstractNumId w:val="36"/>
  </w:num>
  <w:num w:numId="18">
    <w:abstractNumId w:val="10"/>
  </w:num>
  <w:num w:numId="19">
    <w:abstractNumId w:val="33"/>
  </w:num>
  <w:num w:numId="20">
    <w:abstractNumId w:val="12"/>
  </w:num>
  <w:num w:numId="21">
    <w:abstractNumId w:val="23"/>
  </w:num>
  <w:num w:numId="22">
    <w:abstractNumId w:val="28"/>
  </w:num>
  <w:num w:numId="23">
    <w:abstractNumId w:val="17"/>
  </w:num>
  <w:num w:numId="24">
    <w:abstractNumId w:val="37"/>
  </w:num>
  <w:num w:numId="25">
    <w:abstractNumId w:val="20"/>
  </w:num>
  <w:num w:numId="26">
    <w:abstractNumId w:val="41"/>
  </w:num>
  <w:num w:numId="27">
    <w:abstractNumId w:val="16"/>
  </w:num>
  <w:num w:numId="28">
    <w:abstractNumId w:val="39"/>
  </w:num>
  <w:num w:numId="29">
    <w:abstractNumId w:val="18"/>
  </w:num>
  <w:num w:numId="30">
    <w:abstractNumId w:val="42"/>
  </w:num>
  <w:num w:numId="31">
    <w:abstractNumId w:val="34"/>
  </w:num>
  <w:num w:numId="32">
    <w:abstractNumId w:val="21"/>
  </w:num>
  <w:num w:numId="33">
    <w:abstractNumId w:val="44"/>
  </w:num>
  <w:num w:numId="34">
    <w:abstractNumId w:val="40"/>
  </w:num>
  <w:num w:numId="35">
    <w:abstractNumId w:val="13"/>
  </w:num>
  <w:num w:numId="36">
    <w:abstractNumId w:val="11"/>
  </w:num>
  <w:num w:numId="37">
    <w:abstractNumId w:val="48"/>
  </w:num>
  <w:num w:numId="38">
    <w:abstractNumId w:val="27"/>
  </w:num>
  <w:num w:numId="39">
    <w:abstractNumId w:val="25"/>
  </w:num>
  <w:num w:numId="40">
    <w:abstractNumId w:val="37"/>
  </w:num>
  <w:num w:numId="41">
    <w:abstractNumId w:val="45"/>
  </w:num>
  <w:num w:numId="42">
    <w:abstractNumId w:val="24"/>
  </w:num>
  <w:num w:numId="43">
    <w:abstractNumId w:val="22"/>
  </w:num>
  <w:num w:numId="44">
    <w:abstractNumId w:val="26"/>
  </w:num>
  <w:num w:numId="45">
    <w:abstractNumId w:val="14"/>
  </w:num>
  <w:num w:numId="46">
    <w:abstractNumId w:val="46"/>
  </w:num>
  <w:num w:numId="47">
    <w:abstractNumId w:val="19"/>
  </w:num>
  <w:num w:numId="48">
    <w:abstractNumId w:val="37"/>
  </w:num>
  <w:num w:numId="49">
    <w:abstractNumId w:val="9"/>
  </w:num>
  <w:num w:numId="50">
    <w:abstractNumId w:val="32"/>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07F08"/>
    <w:rsid w:val="00012A34"/>
    <w:rsid w:val="00014CC5"/>
    <w:rsid w:val="000171BF"/>
    <w:rsid w:val="00017438"/>
    <w:rsid w:val="00025929"/>
    <w:rsid w:val="00026A4A"/>
    <w:rsid w:val="00026DF7"/>
    <w:rsid w:val="00035606"/>
    <w:rsid w:val="000370EE"/>
    <w:rsid w:val="000458E5"/>
    <w:rsid w:val="00046AA9"/>
    <w:rsid w:val="00047051"/>
    <w:rsid w:val="000536D7"/>
    <w:rsid w:val="00057295"/>
    <w:rsid w:val="00063016"/>
    <w:rsid w:val="00067592"/>
    <w:rsid w:val="0008352C"/>
    <w:rsid w:val="00085F6B"/>
    <w:rsid w:val="00096BD0"/>
    <w:rsid w:val="00097943"/>
    <w:rsid w:val="00097FF6"/>
    <w:rsid w:val="000A2280"/>
    <w:rsid w:val="000A6B98"/>
    <w:rsid w:val="000B1558"/>
    <w:rsid w:val="000B3B48"/>
    <w:rsid w:val="000B4070"/>
    <w:rsid w:val="000C3137"/>
    <w:rsid w:val="000C55FD"/>
    <w:rsid w:val="000C5B56"/>
    <w:rsid w:val="000D3768"/>
    <w:rsid w:val="000D4C5F"/>
    <w:rsid w:val="000E2CD0"/>
    <w:rsid w:val="000E332C"/>
    <w:rsid w:val="000E7EEE"/>
    <w:rsid w:val="000F331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50708"/>
    <w:rsid w:val="00150AD7"/>
    <w:rsid w:val="001526D6"/>
    <w:rsid w:val="00152920"/>
    <w:rsid w:val="00152C2B"/>
    <w:rsid w:val="001530C9"/>
    <w:rsid w:val="00155D93"/>
    <w:rsid w:val="0016126C"/>
    <w:rsid w:val="0016428A"/>
    <w:rsid w:val="00164F0E"/>
    <w:rsid w:val="00170602"/>
    <w:rsid w:val="00172552"/>
    <w:rsid w:val="00172C58"/>
    <w:rsid w:val="0017497E"/>
    <w:rsid w:val="00176097"/>
    <w:rsid w:val="00177DC9"/>
    <w:rsid w:val="00180921"/>
    <w:rsid w:val="00181794"/>
    <w:rsid w:val="0018254B"/>
    <w:rsid w:val="001839DA"/>
    <w:rsid w:val="00185EB0"/>
    <w:rsid w:val="00186D0D"/>
    <w:rsid w:val="00190EA3"/>
    <w:rsid w:val="00193AEB"/>
    <w:rsid w:val="00195F29"/>
    <w:rsid w:val="001962A1"/>
    <w:rsid w:val="00196A38"/>
    <w:rsid w:val="001A0C5E"/>
    <w:rsid w:val="001A0CA4"/>
    <w:rsid w:val="001A2312"/>
    <w:rsid w:val="001A5B24"/>
    <w:rsid w:val="001B10BB"/>
    <w:rsid w:val="001D08D0"/>
    <w:rsid w:val="001D130F"/>
    <w:rsid w:val="001D174B"/>
    <w:rsid w:val="001D692B"/>
    <w:rsid w:val="001E0B44"/>
    <w:rsid w:val="001E0E6D"/>
    <w:rsid w:val="001E4E9F"/>
    <w:rsid w:val="001E6AD3"/>
    <w:rsid w:val="001F0181"/>
    <w:rsid w:val="001F18F2"/>
    <w:rsid w:val="001F2162"/>
    <w:rsid w:val="001F44A6"/>
    <w:rsid w:val="001F46A3"/>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1017"/>
    <w:rsid w:val="002438CA"/>
    <w:rsid w:val="0024435C"/>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507"/>
    <w:rsid w:val="002C179D"/>
    <w:rsid w:val="002C4900"/>
    <w:rsid w:val="002D14D1"/>
    <w:rsid w:val="002D1A63"/>
    <w:rsid w:val="002D480D"/>
    <w:rsid w:val="002D634F"/>
    <w:rsid w:val="002D7445"/>
    <w:rsid w:val="002D7DC4"/>
    <w:rsid w:val="002E1500"/>
    <w:rsid w:val="002F2269"/>
    <w:rsid w:val="002F2DF1"/>
    <w:rsid w:val="002F2F54"/>
    <w:rsid w:val="002F3DBE"/>
    <w:rsid w:val="002F52EC"/>
    <w:rsid w:val="002F614C"/>
    <w:rsid w:val="00301446"/>
    <w:rsid w:val="00301D21"/>
    <w:rsid w:val="0030439F"/>
    <w:rsid w:val="00306A51"/>
    <w:rsid w:val="00306CE7"/>
    <w:rsid w:val="0031695C"/>
    <w:rsid w:val="00321134"/>
    <w:rsid w:val="00321629"/>
    <w:rsid w:val="00325B12"/>
    <w:rsid w:val="00327AA6"/>
    <w:rsid w:val="00327DE4"/>
    <w:rsid w:val="00334A37"/>
    <w:rsid w:val="00334D10"/>
    <w:rsid w:val="00335008"/>
    <w:rsid w:val="00335BF2"/>
    <w:rsid w:val="00337A4E"/>
    <w:rsid w:val="0034049E"/>
    <w:rsid w:val="0034205C"/>
    <w:rsid w:val="00350758"/>
    <w:rsid w:val="0035227C"/>
    <w:rsid w:val="00355E73"/>
    <w:rsid w:val="0036140D"/>
    <w:rsid w:val="00361D59"/>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26E9"/>
    <w:rsid w:val="00495EF3"/>
    <w:rsid w:val="004A3781"/>
    <w:rsid w:val="004A7FB8"/>
    <w:rsid w:val="004B0191"/>
    <w:rsid w:val="004B1474"/>
    <w:rsid w:val="004B1D46"/>
    <w:rsid w:val="004B264F"/>
    <w:rsid w:val="004B443F"/>
    <w:rsid w:val="004B4C19"/>
    <w:rsid w:val="004B5F5D"/>
    <w:rsid w:val="004B640C"/>
    <w:rsid w:val="004B7BD8"/>
    <w:rsid w:val="004C498C"/>
    <w:rsid w:val="004D1E30"/>
    <w:rsid w:val="004D4D6D"/>
    <w:rsid w:val="004D7F12"/>
    <w:rsid w:val="004E13AB"/>
    <w:rsid w:val="004E29D9"/>
    <w:rsid w:val="004F14DA"/>
    <w:rsid w:val="004F3480"/>
    <w:rsid w:val="004F5EDE"/>
    <w:rsid w:val="004F7915"/>
    <w:rsid w:val="005014DB"/>
    <w:rsid w:val="00502910"/>
    <w:rsid w:val="00502E67"/>
    <w:rsid w:val="00505D4E"/>
    <w:rsid w:val="00507ABD"/>
    <w:rsid w:val="00510677"/>
    <w:rsid w:val="00513DA4"/>
    <w:rsid w:val="00515003"/>
    <w:rsid w:val="00517082"/>
    <w:rsid w:val="005204C6"/>
    <w:rsid w:val="005253E2"/>
    <w:rsid w:val="00532B36"/>
    <w:rsid w:val="005376CA"/>
    <w:rsid w:val="005438FE"/>
    <w:rsid w:val="005439E4"/>
    <w:rsid w:val="0054467F"/>
    <w:rsid w:val="00545851"/>
    <w:rsid w:val="00556EF0"/>
    <w:rsid w:val="00557841"/>
    <w:rsid w:val="0056580E"/>
    <w:rsid w:val="0056584F"/>
    <w:rsid w:val="0057013D"/>
    <w:rsid w:val="00572688"/>
    <w:rsid w:val="00575195"/>
    <w:rsid w:val="00575340"/>
    <w:rsid w:val="005775E7"/>
    <w:rsid w:val="00580A76"/>
    <w:rsid w:val="0058281A"/>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6D58"/>
    <w:rsid w:val="005B70EE"/>
    <w:rsid w:val="005C20C8"/>
    <w:rsid w:val="005D0532"/>
    <w:rsid w:val="005D183A"/>
    <w:rsid w:val="005D1A0F"/>
    <w:rsid w:val="005D7EA1"/>
    <w:rsid w:val="005E0DD8"/>
    <w:rsid w:val="005E2425"/>
    <w:rsid w:val="005E51D9"/>
    <w:rsid w:val="005F4807"/>
    <w:rsid w:val="005F6CBA"/>
    <w:rsid w:val="00602187"/>
    <w:rsid w:val="0060335F"/>
    <w:rsid w:val="00606B60"/>
    <w:rsid w:val="00607140"/>
    <w:rsid w:val="0061319A"/>
    <w:rsid w:val="006170B5"/>
    <w:rsid w:val="00617419"/>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56C"/>
    <w:rsid w:val="006D2CFE"/>
    <w:rsid w:val="006D5AB2"/>
    <w:rsid w:val="006E677F"/>
    <w:rsid w:val="006F12CE"/>
    <w:rsid w:val="006F2B27"/>
    <w:rsid w:val="006F416E"/>
    <w:rsid w:val="006F494F"/>
    <w:rsid w:val="006F6DD0"/>
    <w:rsid w:val="007037DF"/>
    <w:rsid w:val="00707F8A"/>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504B3"/>
    <w:rsid w:val="00752849"/>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4F60"/>
    <w:rsid w:val="007B5BC5"/>
    <w:rsid w:val="007B5F84"/>
    <w:rsid w:val="007C0143"/>
    <w:rsid w:val="007C1FB8"/>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7203"/>
    <w:rsid w:val="008A7A03"/>
    <w:rsid w:val="008B2FE0"/>
    <w:rsid w:val="008B3676"/>
    <w:rsid w:val="008B4CA7"/>
    <w:rsid w:val="008B69BB"/>
    <w:rsid w:val="008B7D90"/>
    <w:rsid w:val="008C195F"/>
    <w:rsid w:val="008C516B"/>
    <w:rsid w:val="008C6C0B"/>
    <w:rsid w:val="008C7F58"/>
    <w:rsid w:val="008D4305"/>
    <w:rsid w:val="008D54F1"/>
    <w:rsid w:val="008E0A45"/>
    <w:rsid w:val="008E53DA"/>
    <w:rsid w:val="008E59AE"/>
    <w:rsid w:val="008E759C"/>
    <w:rsid w:val="008F46A1"/>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7710"/>
    <w:rsid w:val="0093788B"/>
    <w:rsid w:val="00942256"/>
    <w:rsid w:val="00943BDD"/>
    <w:rsid w:val="00943F8F"/>
    <w:rsid w:val="0094485E"/>
    <w:rsid w:val="009512EB"/>
    <w:rsid w:val="00953AD5"/>
    <w:rsid w:val="00954277"/>
    <w:rsid w:val="00962CD1"/>
    <w:rsid w:val="0096497C"/>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EC3"/>
    <w:rsid w:val="009B1325"/>
    <w:rsid w:val="009B1379"/>
    <w:rsid w:val="009B144F"/>
    <w:rsid w:val="009B1A4A"/>
    <w:rsid w:val="009B60CB"/>
    <w:rsid w:val="009C55A1"/>
    <w:rsid w:val="009D27BA"/>
    <w:rsid w:val="009D29BB"/>
    <w:rsid w:val="009D29F8"/>
    <w:rsid w:val="009D3BA3"/>
    <w:rsid w:val="009D5A6B"/>
    <w:rsid w:val="009D6410"/>
    <w:rsid w:val="009D785E"/>
    <w:rsid w:val="009E0117"/>
    <w:rsid w:val="009E19B0"/>
    <w:rsid w:val="009E40F8"/>
    <w:rsid w:val="009E4DA5"/>
    <w:rsid w:val="009E5CBF"/>
    <w:rsid w:val="009F1739"/>
    <w:rsid w:val="009F6220"/>
    <w:rsid w:val="00A00928"/>
    <w:rsid w:val="00A018A7"/>
    <w:rsid w:val="00A03920"/>
    <w:rsid w:val="00A04AFF"/>
    <w:rsid w:val="00A104ED"/>
    <w:rsid w:val="00A14000"/>
    <w:rsid w:val="00A15714"/>
    <w:rsid w:val="00A2026D"/>
    <w:rsid w:val="00A22224"/>
    <w:rsid w:val="00A25E19"/>
    <w:rsid w:val="00A317B2"/>
    <w:rsid w:val="00A449C6"/>
    <w:rsid w:val="00A57D75"/>
    <w:rsid w:val="00A57F65"/>
    <w:rsid w:val="00A60632"/>
    <w:rsid w:val="00A60CA0"/>
    <w:rsid w:val="00A618C6"/>
    <w:rsid w:val="00A6228D"/>
    <w:rsid w:val="00A73098"/>
    <w:rsid w:val="00A731F4"/>
    <w:rsid w:val="00A74DB1"/>
    <w:rsid w:val="00A82BD1"/>
    <w:rsid w:val="00A83E44"/>
    <w:rsid w:val="00A85EFB"/>
    <w:rsid w:val="00A90E78"/>
    <w:rsid w:val="00A967DA"/>
    <w:rsid w:val="00AA2A20"/>
    <w:rsid w:val="00AA3B67"/>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F25FB"/>
    <w:rsid w:val="00B03642"/>
    <w:rsid w:val="00B06A4C"/>
    <w:rsid w:val="00B06E1F"/>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6975"/>
    <w:rsid w:val="00B50698"/>
    <w:rsid w:val="00B516B8"/>
    <w:rsid w:val="00B53194"/>
    <w:rsid w:val="00B55C21"/>
    <w:rsid w:val="00B55F83"/>
    <w:rsid w:val="00B57440"/>
    <w:rsid w:val="00B61D19"/>
    <w:rsid w:val="00B80D08"/>
    <w:rsid w:val="00B81C33"/>
    <w:rsid w:val="00B829E8"/>
    <w:rsid w:val="00B86A6C"/>
    <w:rsid w:val="00B86CCE"/>
    <w:rsid w:val="00B8775B"/>
    <w:rsid w:val="00B95C5A"/>
    <w:rsid w:val="00B96AF5"/>
    <w:rsid w:val="00BA01C3"/>
    <w:rsid w:val="00BA3FB0"/>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83A"/>
    <w:rsid w:val="00C24660"/>
    <w:rsid w:val="00C24731"/>
    <w:rsid w:val="00C2526B"/>
    <w:rsid w:val="00C308A6"/>
    <w:rsid w:val="00C3142C"/>
    <w:rsid w:val="00C31F96"/>
    <w:rsid w:val="00C33923"/>
    <w:rsid w:val="00C37141"/>
    <w:rsid w:val="00C4025E"/>
    <w:rsid w:val="00C424E9"/>
    <w:rsid w:val="00C42F09"/>
    <w:rsid w:val="00C44F39"/>
    <w:rsid w:val="00C47AEA"/>
    <w:rsid w:val="00C51DE3"/>
    <w:rsid w:val="00C53209"/>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32C9"/>
    <w:rsid w:val="00CC34DD"/>
    <w:rsid w:val="00CC4E19"/>
    <w:rsid w:val="00CC5E75"/>
    <w:rsid w:val="00CD1C9D"/>
    <w:rsid w:val="00CD2E94"/>
    <w:rsid w:val="00CD3950"/>
    <w:rsid w:val="00CE183B"/>
    <w:rsid w:val="00CE641C"/>
    <w:rsid w:val="00CF184E"/>
    <w:rsid w:val="00CF1BC9"/>
    <w:rsid w:val="00CF599D"/>
    <w:rsid w:val="00D027BE"/>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DCA"/>
    <w:rsid w:val="00D45216"/>
    <w:rsid w:val="00D46712"/>
    <w:rsid w:val="00D468B0"/>
    <w:rsid w:val="00D46CC0"/>
    <w:rsid w:val="00D50286"/>
    <w:rsid w:val="00D5091B"/>
    <w:rsid w:val="00D50927"/>
    <w:rsid w:val="00D55782"/>
    <w:rsid w:val="00D571B5"/>
    <w:rsid w:val="00D57AA4"/>
    <w:rsid w:val="00D60998"/>
    <w:rsid w:val="00D70422"/>
    <w:rsid w:val="00D7514D"/>
    <w:rsid w:val="00D804B0"/>
    <w:rsid w:val="00D82162"/>
    <w:rsid w:val="00D8772E"/>
    <w:rsid w:val="00D90A23"/>
    <w:rsid w:val="00D91AC2"/>
    <w:rsid w:val="00D9274C"/>
    <w:rsid w:val="00D94A0C"/>
    <w:rsid w:val="00D9596F"/>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2749D"/>
    <w:rsid w:val="00E30CB7"/>
    <w:rsid w:val="00E33407"/>
    <w:rsid w:val="00E34D46"/>
    <w:rsid w:val="00E37330"/>
    <w:rsid w:val="00E51506"/>
    <w:rsid w:val="00E54AA7"/>
    <w:rsid w:val="00E56EF0"/>
    <w:rsid w:val="00E65F76"/>
    <w:rsid w:val="00E6723C"/>
    <w:rsid w:val="00E7006B"/>
    <w:rsid w:val="00E70919"/>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96F99"/>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ccess.atis.org/apps/org/workgroup/ipnni/download.php/49304/IPNNI-2019-00102R001.docx"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access.atis.org/apps/org/workgroup/ipnni/download.php/48587/IPNNI-2019-00082R001.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access.atis.org/apps/org/workgroup/ipnni/download.php/48609/IPNNI-2019-00086R003.ppt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s://access.atis.org/apps/org/workgroup/ipnni/download.php/48594/IPNNI-2019-00084R002.pp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4126-9E7E-4C95-A664-78139779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6112</Words>
  <Characters>34843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40874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Richenaker, Gary</cp:lastModifiedBy>
  <cp:revision>3</cp:revision>
  <cp:lastPrinted>2019-10-07T12:33:00Z</cp:lastPrinted>
  <dcterms:created xsi:type="dcterms:W3CDTF">2020-02-04T14:31:00Z</dcterms:created>
  <dcterms:modified xsi:type="dcterms:W3CDTF">2020-02-04T14:32:00Z</dcterms:modified>
  <cp:category/>
</cp:coreProperties>
</file>