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78D1326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40FFA05F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IPNNI-2019-00130R003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C546E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C546E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0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</w:t>
            </w:r>
            <w:r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1000080.v00</w:t>
              </w:r>
              <w:r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091544A3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IPNNI-2019-00150R001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21F40F6B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1492CA1B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PTSC-LB-246</w:t>
            </w: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F7620E9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6E404E" w:rsidP="006E404E">
            <w:pPr>
              <w:spacing w:after="0" w:line="240" w:lineRule="auto"/>
            </w:pPr>
            <w:hyperlink r:id="rId15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163E3E2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IPNNI-2019-00146R000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6E404E" w:rsidRPr="00B62F1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Pr="00743085">
                <w:rPr>
                  <w:rFonts w:eastAsia="Times New Roman" w:cs="Calibri"/>
                  <w:color w:val="000000"/>
                </w:rPr>
                <w:t>IPNNI-201</w:t>
              </w:r>
              <w:r>
                <w:rPr>
                  <w:rFonts w:eastAsia="Times New Roman" w:cs="Calibri"/>
                  <w:color w:val="000000"/>
                </w:rPr>
                <w:t>9</w:t>
              </w:r>
              <w:r w:rsidRPr="00743085">
                <w:rPr>
                  <w:rFonts w:eastAsia="Times New Roman" w:cs="Calibri"/>
                  <w:color w:val="000000"/>
                </w:rPr>
                <w:t>-00</w:t>
              </w:r>
              <w:r>
                <w:rPr>
                  <w:rFonts w:eastAsia="Times New Roman" w:cs="Calibri"/>
                  <w:color w:val="000000"/>
                </w:rPr>
                <w:t>140</w:t>
              </w:r>
              <w:r w:rsidRPr="00743085">
                <w:rPr>
                  <w:rFonts w:eastAsia="Times New Roman" w:cs="Calibri"/>
                  <w:color w:val="000000"/>
                </w:rPr>
                <w:t>R00</w:t>
              </w:r>
              <w:r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6E404E" w:rsidRPr="0074308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64D1925A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IPNNI-2019-00089R001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469A929F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24EA225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35A8277D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642BC20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IPNNI-2019-00075R007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IPNNI-2019-00102R004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7FB507C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A8AA517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EC23DE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528E48C" w14:textId="261FDFD3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RPH Signing of 9-1-1 and Callback Calls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D4B416" w14:textId="2A7294DD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70D990B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5C0E5E26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IPNNI-2019-00144R000</w:t>
            </w:r>
            <w:bookmarkStart w:id="0" w:name="_GoBack"/>
            <w:bookmarkEnd w:id="0"/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6E404E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6E404E" w:rsidRPr="00F412B9" w:rsidRDefault="006E404E" w:rsidP="006E404E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6E404E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11D1923" w:rsidR="006E404E" w:rsidRPr="007A7DDF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IPNNI-2019-00125R001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6E404E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4CCE" w14:textId="77777777" w:rsidR="007D38CA" w:rsidRDefault="007D38CA" w:rsidP="008E6B25">
      <w:pPr>
        <w:spacing w:after="0" w:line="240" w:lineRule="auto"/>
      </w:pPr>
      <w:r>
        <w:separator/>
      </w:r>
    </w:p>
  </w:endnote>
  <w:endnote w:type="continuationSeparator" w:id="0">
    <w:p w14:paraId="7CE4F292" w14:textId="77777777" w:rsidR="007D38CA" w:rsidRDefault="007D38CA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E58" w14:textId="77777777" w:rsidR="007D38CA" w:rsidRDefault="007D38CA" w:rsidP="008E6B25">
      <w:pPr>
        <w:spacing w:after="0" w:line="240" w:lineRule="auto"/>
      </w:pPr>
      <w:r>
        <w:separator/>
      </w:r>
    </w:p>
  </w:footnote>
  <w:footnote w:type="continuationSeparator" w:id="0">
    <w:p w14:paraId="5F00B930" w14:textId="77777777" w:rsidR="007D38CA" w:rsidRDefault="007D38CA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group_public/download.php/35256/ATIS-1000080.pdf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.atis.org/apps/org/workgroup/ipnni/download.php/39620/IPNNI-2018-00038R00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org/workgroup/ipnni/download.php/48807/IPNNI-2019-00035R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group_public/download.php/35256/ATIS-1000080.pdf" TargetMode="External"/><Relationship Id="rId10" Type="http://schemas.openxmlformats.org/officeDocument/2006/relationships/hyperlink" Target="https://access.atis.org/apps/org/workgroup/ipnni/download.php/48807/IPNNI-2019-00035R011.docx" TargetMode="External"/><Relationship Id="rId19" Type="http://schemas.openxmlformats.org/officeDocument/2006/relationships/hyperlink" Target="https://access.atis.org/apps/org/workgroup/ptsc/download.php/31857/PTSC-2016-00234R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6</cp:revision>
  <cp:lastPrinted>2011-02-04T21:15:00Z</cp:lastPrinted>
  <dcterms:created xsi:type="dcterms:W3CDTF">2019-12-10T21:49:00Z</dcterms:created>
  <dcterms:modified xsi:type="dcterms:W3CDTF">2019-12-10T22:08:00Z</dcterms:modified>
</cp:coreProperties>
</file>