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6F1D4C0C" w14:textId="77777777" w:rsidTr="006D16E6">
        <w:trPr>
          <w:trHeight w:val="1134"/>
        </w:trPr>
        <w:tc>
          <w:tcPr>
            <w:tcW w:w="14220" w:type="dxa"/>
          </w:tcPr>
          <w:p w14:paraId="6F1D4C0A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6F1D4C0B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6F1D4C0D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F1D4C0E" w14:textId="77777777" w:rsidR="00FB79F5" w:rsidRDefault="00FB79F5" w:rsidP="00FB79F5">
      <w:pPr>
        <w:pStyle w:val="Heading2"/>
        <w:numPr>
          <w:ilvl w:val="0"/>
          <w:numId w:val="0"/>
        </w:numPr>
        <w:ind w:left="576" w:hanging="576"/>
      </w:pPr>
      <w:r>
        <w:t>Letter Ballot</w:t>
      </w:r>
      <w:proofErr w:type="gramStart"/>
      <w:r>
        <w:t xml:space="preserve">: </w:t>
      </w:r>
      <w:r w:rsidR="00C31FF2">
        <w:t xml:space="preserve"> </w:t>
      </w:r>
      <w:r w:rsidR="00443476" w:rsidRPr="006D16E6">
        <w:rPr>
          <w:highlight w:val="yellow"/>
        </w:rPr>
        <w:t>[</w:t>
      </w:r>
      <w:proofErr w:type="gramEnd"/>
      <w:r w:rsidR="00507C46">
        <w:rPr>
          <w:highlight w:val="yellow"/>
        </w:rPr>
        <w:t>PTSC</w:t>
      </w:r>
      <w:r w:rsidR="00FE222B">
        <w:rPr>
          <w:highlight w:val="yellow"/>
        </w:rPr>
        <w:t xml:space="preserve"> &amp;</w:t>
      </w:r>
      <w:r w:rsidR="00DB15D2">
        <w:rPr>
          <w:highlight w:val="yellow"/>
        </w:rPr>
        <w:t xml:space="preserve"> PTSC-LB-243</w:t>
      </w:r>
      <w:r w:rsidR="00443476" w:rsidRPr="006D16E6">
        <w:rPr>
          <w:highlight w:val="yellow"/>
        </w:rPr>
        <w:t>]</w:t>
      </w:r>
    </w:p>
    <w:p w14:paraId="6F1D4C0F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960"/>
        <w:gridCol w:w="3780"/>
        <w:gridCol w:w="450"/>
        <w:gridCol w:w="450"/>
        <w:gridCol w:w="4377"/>
      </w:tblGrid>
      <w:tr w:rsidR="00C216A4" w14:paraId="6F1D4C11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6F1D4C10" w14:textId="77777777" w:rsidR="00C216A4" w:rsidRPr="00C216A4" w:rsidRDefault="00C216A4" w:rsidP="005B26FF">
            <w:pPr>
              <w:rPr>
                <w:b/>
              </w:rPr>
            </w:pPr>
            <w:r>
              <w:rPr>
                <w:b/>
              </w:rPr>
              <w:t>Company Name</w:t>
            </w:r>
            <w:proofErr w:type="gramStart"/>
            <w:r>
              <w:rPr>
                <w:b/>
              </w:rPr>
              <w:t xml:space="preserve">: </w:t>
            </w:r>
            <w:r w:rsidR="00443476">
              <w:rPr>
                <w:b/>
              </w:rPr>
              <w:t xml:space="preserve"> </w:t>
            </w:r>
            <w:r w:rsidR="00443476" w:rsidRPr="006D16E6">
              <w:rPr>
                <w:b/>
                <w:highlight w:val="yellow"/>
              </w:rPr>
              <w:t>[</w:t>
            </w:r>
            <w:proofErr w:type="gramEnd"/>
            <w:r w:rsidR="005B26FF">
              <w:rPr>
                <w:b/>
                <w:highlight w:val="yellow"/>
              </w:rPr>
              <w:t>Neustar</w:t>
            </w:r>
            <w:r w:rsidR="00443476" w:rsidRPr="006D16E6">
              <w:rPr>
                <w:b/>
                <w:highlight w:val="yellow"/>
              </w:rPr>
              <w:t>]</w:t>
            </w:r>
          </w:p>
        </w:tc>
      </w:tr>
      <w:tr w:rsidR="00A90FAD" w14:paraId="6F1D4C1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F1D4C12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1D4C13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6F1D4C1C" w14:textId="77777777" w:rsidTr="00282B10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F1D4C15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14:paraId="6F1D4C16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6F1D4C17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6F1D4C18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F1D4C19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6F1D4C1A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6F1D4C1B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415619" w14:paraId="6F1D4C24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F1D4C1D" w14:textId="77777777" w:rsidR="00415619" w:rsidRDefault="00415619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1E" w14:textId="77777777" w:rsidR="00415619" w:rsidRDefault="00DB15D2" w:rsidP="00AD399C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3960" w:type="dxa"/>
          </w:tcPr>
          <w:p w14:paraId="6F1D4C1F" w14:textId="77777777" w:rsidR="00415619" w:rsidRPr="006466E2" w:rsidRDefault="006466E2" w:rsidP="006466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not find an active</w:t>
            </w:r>
            <w:r w:rsidR="00DB15D2" w:rsidRPr="00646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6466E2">
              <w:rPr>
                <w:sz w:val="22"/>
                <w:szCs w:val="22"/>
              </w:rPr>
              <w:t>draft-</w:t>
            </w:r>
            <w:proofErr w:type="spellStart"/>
            <w:r w:rsidRPr="006466E2">
              <w:rPr>
                <w:sz w:val="22"/>
                <w:szCs w:val="22"/>
              </w:rPr>
              <w:t>ietf</w:t>
            </w:r>
            <w:proofErr w:type="spellEnd"/>
            <w:r w:rsidRPr="006466E2">
              <w:rPr>
                <w:sz w:val="22"/>
                <w:szCs w:val="22"/>
              </w:rPr>
              <w:t>-acme-authority-token</w:t>
            </w:r>
            <w:r>
              <w:rPr>
                <w:sz w:val="22"/>
                <w:szCs w:val="22"/>
              </w:rPr>
              <w:t>” document?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20" w14:textId="77777777" w:rsidR="00415619" w:rsidRDefault="006466E2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active document and not expired (e.g., a version 04)?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21" w14:textId="6F126693" w:rsidR="00415619" w:rsidRPr="006D16E6" w:rsidRDefault="0022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22" w14:textId="1526A661" w:rsidR="00415619" w:rsidRPr="006D16E6" w:rsidRDefault="00383A02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23" w14:textId="77777777" w:rsidR="00415619" w:rsidRPr="006D16E6" w:rsidRDefault="00415619" w:rsidP="00C31FF2">
            <w:pPr>
              <w:rPr>
                <w:sz w:val="22"/>
                <w:szCs w:val="22"/>
              </w:rPr>
            </w:pPr>
          </w:p>
        </w:tc>
      </w:tr>
      <w:tr w:rsidR="006466E2" w14:paraId="6F1D4C2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F1D4C25" w14:textId="77777777" w:rsidR="006466E2" w:rsidRDefault="006466E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26" w14:textId="77777777" w:rsidR="006466E2" w:rsidRDefault="006466E2" w:rsidP="00AD399C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3960" w:type="dxa"/>
          </w:tcPr>
          <w:p w14:paraId="6F1D4C27" w14:textId="77777777" w:rsidR="006466E2" w:rsidRDefault="006466E2" w:rsidP="006466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 footnote 4 references and add associated text as needed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28" w14:textId="77777777" w:rsidR="006466E2" w:rsidRDefault="006466E2" w:rsidP="005B2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29" w14:textId="0CA80414" w:rsidR="006466E2" w:rsidRPr="006D16E6" w:rsidRDefault="0022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2A" w14:textId="06C985EC" w:rsidR="006466E2" w:rsidRPr="006D16E6" w:rsidRDefault="00383A02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2B" w14:textId="77777777" w:rsidR="006466E2" w:rsidRPr="006D16E6" w:rsidRDefault="006466E2" w:rsidP="00C31FF2">
            <w:pPr>
              <w:rPr>
                <w:sz w:val="22"/>
                <w:szCs w:val="22"/>
              </w:rPr>
            </w:pPr>
          </w:p>
        </w:tc>
      </w:tr>
      <w:tr w:rsidR="007C0ACF" w14:paraId="6F1D4C34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F1D4C2D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2E" w14:textId="77777777" w:rsidR="00C31FF2" w:rsidRPr="006D16E6" w:rsidRDefault="00DB15D2" w:rsidP="00AD399C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3/3.1</w:t>
            </w:r>
          </w:p>
        </w:tc>
        <w:tc>
          <w:tcPr>
            <w:tcW w:w="3960" w:type="dxa"/>
          </w:tcPr>
          <w:p w14:paraId="6F1D4C2F" w14:textId="77777777" w:rsidR="00C31FF2" w:rsidRPr="006D16E6" w:rsidRDefault="00DB15D2" w:rsidP="0027604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“ACME” from SPC Token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30" w14:textId="77777777" w:rsidR="00C31FF2" w:rsidRPr="006D16E6" w:rsidRDefault="00DB15D2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ACME is not required, at least not in this definition.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31" w14:textId="3B43DFC3" w:rsidR="00C31FF2" w:rsidRPr="006D16E6" w:rsidRDefault="0022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32" w14:textId="7C23686D" w:rsidR="00C31FF2" w:rsidRPr="006D16E6" w:rsidRDefault="00383A02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33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7C0ACF" w14:paraId="6F1D4C3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F1D4C35" w14:textId="77777777" w:rsidR="00C31FF2" w:rsidRDefault="00C31FF2" w:rsidP="006D16E6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36" w14:textId="77777777" w:rsidR="00C31FF2" w:rsidRPr="006D16E6" w:rsidRDefault="00507C46" w:rsidP="00DB15D2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 w:rsidR="00DB15D2">
              <w:rPr>
                <w:sz w:val="22"/>
                <w:szCs w:val="22"/>
              </w:rPr>
              <w:t xml:space="preserve"> 8</w:t>
            </w:r>
            <w:r w:rsidR="00C53347">
              <w:rPr>
                <w:sz w:val="22"/>
                <w:szCs w:val="22"/>
              </w:rPr>
              <w:t>/</w:t>
            </w:r>
            <w:r w:rsidR="005B26FF">
              <w:rPr>
                <w:sz w:val="22"/>
                <w:szCs w:val="22"/>
              </w:rPr>
              <w:t xml:space="preserve"> </w:t>
            </w:r>
            <w:r w:rsidR="00DB15D2">
              <w:rPr>
                <w:sz w:val="22"/>
                <w:szCs w:val="22"/>
              </w:rPr>
              <w:t>5.2.1</w:t>
            </w:r>
          </w:p>
        </w:tc>
        <w:tc>
          <w:tcPr>
            <w:tcW w:w="3960" w:type="dxa"/>
          </w:tcPr>
          <w:p w14:paraId="6F1D4C37" w14:textId="77777777" w:rsidR="00C31FF2" w:rsidRPr="006D16E6" w:rsidRDefault="00DB15D2" w:rsidP="00DB15D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“in the STI certificate” to “in the STI certificate or Certification Path” in second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38" w14:textId="77777777" w:rsidR="00C31FF2" w:rsidRPr="006D16E6" w:rsidRDefault="00DB15D2" w:rsidP="005B2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Reinforces that an STI-VS may dereference a certificate chain.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39" w14:textId="24794BF7" w:rsidR="00C31FF2" w:rsidRPr="006D16E6" w:rsidRDefault="00221959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3A" w14:textId="756A188D" w:rsidR="00C31FF2" w:rsidRPr="006D16E6" w:rsidRDefault="00383A02" w:rsidP="00C3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3B" w14:textId="77777777" w:rsidR="00C31FF2" w:rsidRPr="006D16E6" w:rsidRDefault="00C31FF2" w:rsidP="00C31FF2">
            <w:pPr>
              <w:rPr>
                <w:sz w:val="22"/>
                <w:szCs w:val="22"/>
              </w:rPr>
            </w:pPr>
          </w:p>
        </w:tc>
      </w:tr>
      <w:tr w:rsidR="00F62BB3" w14:paraId="6F1D4C44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F1D4C3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3E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8/5.2.1</w:t>
            </w:r>
          </w:p>
        </w:tc>
        <w:tc>
          <w:tcPr>
            <w:tcW w:w="3960" w:type="dxa"/>
          </w:tcPr>
          <w:p w14:paraId="6F1D4C3F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“token” to “Token” at end of third paragraph and throughout when used per the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40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definition in Clause 3.1.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41" w14:textId="224431CC" w:rsidR="00F62BB3" w:rsidRPr="006D16E6" w:rsidRDefault="00221959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42" w14:textId="023CDC47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4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4C" w14:textId="77777777" w:rsidTr="00282B10">
        <w:tc>
          <w:tcPr>
            <w:tcW w:w="450" w:type="dxa"/>
            <w:shd w:val="clear" w:color="auto" w:fill="D9D9D9" w:themeFill="background1" w:themeFillShade="D9"/>
          </w:tcPr>
          <w:p w14:paraId="6F1D4C4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46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8/5.2.1</w:t>
            </w:r>
          </w:p>
        </w:tc>
        <w:tc>
          <w:tcPr>
            <w:tcW w:w="3960" w:type="dxa"/>
          </w:tcPr>
          <w:p w14:paraId="6F1D4C47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 reference error at end of third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48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49" w14:textId="5B22109C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4A" w14:textId="73DB376D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4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5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4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4E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8/5.2.2</w:t>
            </w:r>
          </w:p>
        </w:tc>
        <w:tc>
          <w:tcPr>
            <w:tcW w:w="3960" w:type="dxa"/>
          </w:tcPr>
          <w:p w14:paraId="6F1D4C4F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“valid” in second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50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Redundant.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51" w14:textId="77DF8C45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52" w14:textId="647ACBC4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5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5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5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56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8/5.2.3</w:t>
            </w:r>
          </w:p>
        </w:tc>
        <w:tc>
          <w:tcPr>
            <w:tcW w:w="3960" w:type="dxa"/>
          </w:tcPr>
          <w:p w14:paraId="6F1D4C57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“identity” to “Identity” in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58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59" w14:textId="2903D6CB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5A" w14:textId="55E81783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5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6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5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5E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8/5.2.3</w:t>
            </w:r>
          </w:p>
        </w:tc>
        <w:tc>
          <w:tcPr>
            <w:tcW w:w="3960" w:type="dxa"/>
          </w:tcPr>
          <w:p w14:paraId="6F1D4C5F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third sentence including “preferred”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60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Clause 6.3.2 does not detail how the SP communicates its preferred STI-CA(s) to the STI-PA.  “Preferred” in this context seems to apply to the SP independently determining which STI-CA(s) is/are preferred?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61" w14:textId="77E389F8" w:rsidR="00F62BB3" w:rsidRPr="006D16E6" w:rsidRDefault="00EC31DF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62" w14:textId="6F30D60B" w:rsidR="00F62BB3" w:rsidRPr="006D16E6" w:rsidRDefault="00EC31DF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6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6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6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66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8/5.2.3</w:t>
            </w:r>
          </w:p>
        </w:tc>
        <w:tc>
          <w:tcPr>
            <w:tcW w:w="3960" w:type="dxa"/>
          </w:tcPr>
          <w:p w14:paraId="6F1D4C67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second to last sentence in the second paragraph: “…identities that the terminating SP can use” to “…identities, can be used by the terminating SP”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68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69" w14:textId="28671DFE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6A" w14:textId="43DAD95A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6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7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6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6E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10/6.3</w:t>
            </w:r>
          </w:p>
        </w:tc>
        <w:tc>
          <w:tcPr>
            <w:tcW w:w="3960" w:type="dxa"/>
          </w:tcPr>
          <w:p w14:paraId="6F1D4C6F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“an automated” to “the preferred and automated” in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70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ACME not a requirement.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71" w14:textId="138E464D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72" w14:textId="3DD12697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7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7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7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76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11/6.3.1</w:t>
            </w:r>
          </w:p>
        </w:tc>
        <w:tc>
          <w:tcPr>
            <w:tcW w:w="3960" w:type="dxa"/>
          </w:tcPr>
          <w:p w14:paraId="6F1D4C77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first “ACME” to “recommended ACME”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78" w14:textId="77777777" w:rsidR="00F62BB3" w:rsidRPr="006D16E6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ACME not a requirement.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79" w14:textId="6073FDC8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7A" w14:textId="1BC240FB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7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8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7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7E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13/6.3.3</w:t>
            </w:r>
          </w:p>
        </w:tc>
        <w:tc>
          <w:tcPr>
            <w:tcW w:w="3960" w:type="dxa"/>
          </w:tcPr>
          <w:p w14:paraId="6F1D4C7F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Clause reference in first NOTE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80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81" w14:textId="71A573E8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82" w14:textId="064393A9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8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8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8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86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15/6.3.4.1</w:t>
            </w:r>
          </w:p>
        </w:tc>
        <w:tc>
          <w:tcPr>
            <w:tcW w:w="3960" w:type="dxa"/>
          </w:tcPr>
          <w:p w14:paraId="6F1D4C87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“and TN identity information” in first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88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SPC only.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89" w14:textId="518CDC96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8A" w14:textId="69846FE4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8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9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8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8E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15/6.3.4.1</w:t>
            </w:r>
          </w:p>
        </w:tc>
        <w:tc>
          <w:tcPr>
            <w:tcW w:w="3960" w:type="dxa"/>
          </w:tcPr>
          <w:p w14:paraId="6F1D4C8F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“\” in last sentence of second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90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91" w14:textId="55744871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92" w14:textId="18C57232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9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9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9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96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16/6.3.4.1</w:t>
            </w:r>
          </w:p>
        </w:tc>
        <w:tc>
          <w:tcPr>
            <w:tcW w:w="3960" w:type="dxa"/>
          </w:tcPr>
          <w:p w14:paraId="6F1D4C97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</w:t>
            </w:r>
            <w:proofErr w:type="spellStart"/>
            <w:r>
              <w:rPr>
                <w:sz w:val="22"/>
                <w:szCs w:val="22"/>
              </w:rPr>
              <w:t>TnAuthList</w:t>
            </w:r>
            <w:proofErr w:type="spellEnd"/>
            <w:r>
              <w:rPr>
                <w:sz w:val="22"/>
                <w:szCs w:val="22"/>
              </w:rPr>
              <w:t>” to “</w:t>
            </w:r>
            <w:proofErr w:type="spellStart"/>
            <w:r>
              <w:rPr>
                <w:sz w:val="22"/>
                <w:szCs w:val="22"/>
              </w:rPr>
              <w:t>TNAuthList</w:t>
            </w:r>
            <w:proofErr w:type="spellEnd"/>
            <w:r>
              <w:rPr>
                <w:sz w:val="22"/>
                <w:szCs w:val="22"/>
              </w:rPr>
              <w:t xml:space="preserve">” in </w:t>
            </w:r>
            <w:r w:rsidR="00E6277E">
              <w:rPr>
                <w:sz w:val="22"/>
                <w:szCs w:val="22"/>
              </w:rPr>
              <w:t xml:space="preserve">JWT Payload </w:t>
            </w:r>
            <w:r>
              <w:rPr>
                <w:sz w:val="22"/>
                <w:szCs w:val="22"/>
              </w:rPr>
              <w:t>example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98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99" w14:textId="586D3DFE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9A" w14:textId="69BA9F02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9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A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9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9E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18/6.3.5</w:t>
            </w:r>
          </w:p>
        </w:tc>
        <w:tc>
          <w:tcPr>
            <w:tcW w:w="3960" w:type="dxa"/>
          </w:tcPr>
          <w:p w14:paraId="6F1D4C9F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“token” to “Token” here and throughout when used per the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A0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definition in Clause 3.1.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A1" w14:textId="2D1E6D28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A2" w14:textId="37730E6E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A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A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A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A6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18/6.3.5.1</w:t>
            </w:r>
          </w:p>
        </w:tc>
        <w:tc>
          <w:tcPr>
            <w:tcW w:w="3960" w:type="dxa"/>
          </w:tcPr>
          <w:p w14:paraId="6F1D4CA7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“list” to “List” in next to last paragraph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A8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A9" w14:textId="70DC3958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AA" w14:textId="53FD71B8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A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B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A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AE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21/6.3.5.2</w:t>
            </w:r>
          </w:p>
        </w:tc>
        <w:tc>
          <w:tcPr>
            <w:tcW w:w="3960" w:type="dxa"/>
          </w:tcPr>
          <w:p w14:paraId="6F1D4CAF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 reference error under item “5)”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B0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B1" w14:textId="44AC4F02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B2" w14:textId="3D007EEE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B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F62BB3" w14:paraId="6F1D4CB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B5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B6" w14:textId="77777777" w:rsidR="00F62BB3" w:rsidRDefault="00167207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24/6.3.5.2</w:t>
            </w:r>
          </w:p>
        </w:tc>
        <w:tc>
          <w:tcPr>
            <w:tcW w:w="3960" w:type="dxa"/>
          </w:tcPr>
          <w:p w14:paraId="6F1D4CB7" w14:textId="77777777" w:rsidR="00F62BB3" w:rsidRDefault="00167207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“STI-certificate” to “STI certificate” under item “12)”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B8" w14:textId="77777777" w:rsidR="00F62BB3" w:rsidRDefault="00167207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B9" w14:textId="7A2FA946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BA" w14:textId="57123731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BB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  <w:tr w:rsidR="00B71E1B" w14:paraId="6F1D4CC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BD" w14:textId="77777777" w:rsidR="00B71E1B" w:rsidRDefault="00B71E1B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BE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25/6.3.6</w:t>
            </w:r>
          </w:p>
        </w:tc>
        <w:tc>
          <w:tcPr>
            <w:tcW w:w="3960" w:type="dxa"/>
          </w:tcPr>
          <w:p w14:paraId="6F1D4CBF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“certificate” to “STI certificate” in last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C0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 and 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C1" w14:textId="1B9D0399" w:rsidR="00B71E1B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C2" w14:textId="70DC3E9F" w:rsidR="00B71E1B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C3" w14:textId="77777777"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</w:tr>
      <w:tr w:rsidR="00B71E1B" w14:paraId="6F1D4CC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C5" w14:textId="77777777" w:rsidR="00B71E1B" w:rsidRDefault="00B71E1B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C6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6.3</w:t>
            </w:r>
          </w:p>
        </w:tc>
        <w:tc>
          <w:tcPr>
            <w:tcW w:w="3960" w:type="dxa"/>
          </w:tcPr>
          <w:p w14:paraId="6F1D4CC7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“CA token” to “SPC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C8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Inconsistent use of “token”.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C9" w14:textId="681C490C" w:rsidR="00B71E1B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CA" w14:textId="4C5B4236" w:rsidR="00B71E1B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CB" w14:textId="77777777"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</w:tr>
      <w:tr w:rsidR="00B71E1B" w14:paraId="6F1D4CD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CD" w14:textId="77777777" w:rsidR="00B71E1B" w:rsidRDefault="00B71E1B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CE" w14:textId="77777777" w:rsidR="00B71E1B" w:rsidRDefault="00B71E1B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6.4</w:t>
            </w:r>
          </w:p>
        </w:tc>
        <w:tc>
          <w:tcPr>
            <w:tcW w:w="3960" w:type="dxa"/>
          </w:tcPr>
          <w:p w14:paraId="6F1D4CCF" w14:textId="77777777" w:rsidR="00B71E1B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“Poll to” to “Poll”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D0" w14:textId="77777777" w:rsidR="00B71E1B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Typo.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D1" w14:textId="360273CA" w:rsidR="00B71E1B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D2" w14:textId="6407F38C" w:rsidR="00B71E1B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D3" w14:textId="77777777" w:rsidR="00B71E1B" w:rsidRPr="006D16E6" w:rsidRDefault="00B71E1B" w:rsidP="00F62BB3">
            <w:pPr>
              <w:rPr>
                <w:sz w:val="22"/>
                <w:szCs w:val="22"/>
              </w:rPr>
            </w:pPr>
          </w:p>
        </w:tc>
      </w:tr>
      <w:tr w:rsidR="00CC4DCD" w14:paraId="6F1D4CD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D5" w14:textId="77777777" w:rsidR="00CC4DCD" w:rsidRDefault="00CC4DCD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D6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27/6.3.8</w:t>
            </w:r>
          </w:p>
        </w:tc>
        <w:tc>
          <w:tcPr>
            <w:tcW w:w="3960" w:type="dxa"/>
          </w:tcPr>
          <w:p w14:paraId="6F1D4CD7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“as credentials” in last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D8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D9" w14:textId="59BF97DF" w:rsidR="00CC4DCD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DA" w14:textId="20172B36" w:rsidR="00CC4DCD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DB" w14:textId="77777777"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</w:tr>
      <w:tr w:rsidR="00CC4DCD" w14:paraId="6F1D4CE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DD" w14:textId="77777777" w:rsidR="00CC4DCD" w:rsidRDefault="00CC4DCD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DE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28/6.3.8</w:t>
            </w:r>
          </w:p>
        </w:tc>
        <w:tc>
          <w:tcPr>
            <w:tcW w:w="3960" w:type="dxa"/>
          </w:tcPr>
          <w:p w14:paraId="6F1D4CDF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“, when a certificate” to “when a certificate” in sentence two paragraphs preceding Figure 6.5.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E0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 not needed.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E1" w14:textId="1D52F43E" w:rsidR="00CC4DCD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E2" w14:textId="33E178EE" w:rsidR="00CC4DCD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E3" w14:textId="77777777"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</w:tr>
      <w:tr w:rsidR="00CC4DCD" w14:paraId="6F1D4CEC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E5" w14:textId="77777777" w:rsidR="00CC4DCD" w:rsidRDefault="00CC4DCD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E6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6.5</w:t>
            </w:r>
          </w:p>
        </w:tc>
        <w:tc>
          <w:tcPr>
            <w:tcW w:w="3960" w:type="dxa"/>
          </w:tcPr>
          <w:p w14:paraId="6F1D4CE7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“CA token” to “SPC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E8" w14:textId="77777777" w:rsidR="00CC4DCD" w:rsidRDefault="00CC4DCD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Inconsistent use of “token”.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E9" w14:textId="497B7DA3" w:rsidR="00CC4DCD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EA" w14:textId="6BE912C8" w:rsidR="00CC4DCD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6F1D4CEB" w14:textId="77777777" w:rsidR="00CC4DCD" w:rsidRPr="006D16E6" w:rsidRDefault="00CC4DCD" w:rsidP="00F62BB3">
            <w:pPr>
              <w:rPr>
                <w:sz w:val="22"/>
                <w:szCs w:val="22"/>
              </w:rPr>
            </w:pPr>
          </w:p>
        </w:tc>
      </w:tr>
      <w:tr w:rsidR="00F62BB3" w14:paraId="6F1D4CF4" w14:textId="77777777" w:rsidTr="002C11B1">
        <w:tc>
          <w:tcPr>
            <w:tcW w:w="450" w:type="dxa"/>
            <w:shd w:val="clear" w:color="auto" w:fill="D9D9D9" w:themeFill="background1" w:themeFillShade="D9"/>
          </w:tcPr>
          <w:p w14:paraId="6F1D4CED" w14:textId="77777777" w:rsidR="00F62BB3" w:rsidRDefault="00F62BB3" w:rsidP="00F62BB3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080" w:type="dxa"/>
          </w:tcPr>
          <w:p w14:paraId="6F1D4CEE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</w:t>
            </w:r>
          </w:p>
        </w:tc>
        <w:tc>
          <w:tcPr>
            <w:tcW w:w="3960" w:type="dxa"/>
          </w:tcPr>
          <w:p w14:paraId="6F1D4CEF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“</w:t>
            </w:r>
            <w:proofErr w:type="spellStart"/>
            <w:r>
              <w:rPr>
                <w:sz w:val="22"/>
                <w:szCs w:val="22"/>
              </w:rPr>
              <w:t>TNAuthorizationList</w:t>
            </w:r>
            <w:proofErr w:type="spellEnd"/>
            <w:r>
              <w:rPr>
                <w:sz w:val="22"/>
                <w:szCs w:val="22"/>
              </w:rPr>
              <w:t>” to “</w:t>
            </w:r>
            <w:proofErr w:type="gramStart"/>
            <w:r>
              <w:rPr>
                <w:sz w:val="22"/>
                <w:szCs w:val="22"/>
              </w:rPr>
              <w:t>TN  Authorization</w:t>
            </w:r>
            <w:proofErr w:type="gramEnd"/>
            <w:r>
              <w:rPr>
                <w:sz w:val="22"/>
                <w:szCs w:val="22"/>
              </w:rPr>
              <w:t xml:space="preserve"> List” throughout Appendix text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1D4CF0" w14:textId="77777777" w:rsidR="00F62BB3" w:rsidRDefault="00F62BB3" w:rsidP="00F62BB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Consistency.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F1D4CF1" w14:textId="3C096290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F1D4CF2" w14:textId="67827811" w:rsidR="00F62BB3" w:rsidRPr="006D16E6" w:rsidRDefault="00383A02" w:rsidP="00F62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4377" w:type="dxa"/>
          </w:tcPr>
          <w:p w14:paraId="6F1D4CF3" w14:textId="77777777" w:rsidR="00F62BB3" w:rsidRPr="006D16E6" w:rsidRDefault="00F62BB3" w:rsidP="00F62BB3">
            <w:pPr>
              <w:rPr>
                <w:sz w:val="22"/>
                <w:szCs w:val="22"/>
              </w:rPr>
            </w:pPr>
          </w:p>
        </w:tc>
      </w:tr>
    </w:tbl>
    <w:p w14:paraId="6F1D4CF5" w14:textId="77777777" w:rsidR="008424A0" w:rsidRPr="008424A0" w:rsidRDefault="008424A0" w:rsidP="008424A0"/>
    <w:p w14:paraId="6F1D4CF6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6F1D4CF7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4CFA" w14:textId="77777777" w:rsidR="00C4223D" w:rsidRDefault="00C4223D" w:rsidP="008424A0">
      <w:pPr>
        <w:spacing w:before="0" w:after="0"/>
      </w:pPr>
      <w:r>
        <w:separator/>
      </w:r>
    </w:p>
  </w:endnote>
  <w:endnote w:type="continuationSeparator" w:id="0">
    <w:p w14:paraId="6F1D4CFB" w14:textId="77777777" w:rsidR="00C4223D" w:rsidRDefault="00C4223D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D4CFD" w14:textId="77777777" w:rsidR="00242E46" w:rsidRDefault="00242E46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D4CF8" w14:textId="77777777" w:rsidR="00C4223D" w:rsidRDefault="00C4223D" w:rsidP="008424A0">
      <w:pPr>
        <w:spacing w:before="0" w:after="0"/>
      </w:pPr>
      <w:r>
        <w:separator/>
      </w:r>
    </w:p>
  </w:footnote>
  <w:footnote w:type="continuationSeparator" w:id="0">
    <w:p w14:paraId="6F1D4CF9" w14:textId="77777777" w:rsidR="00C4223D" w:rsidRDefault="00C4223D" w:rsidP="008424A0">
      <w:pPr>
        <w:spacing w:before="0" w:after="0"/>
      </w:pPr>
      <w:r>
        <w:continuationSeparator/>
      </w:r>
    </w:p>
  </w:footnote>
  <w:footnote w:id="1">
    <w:p w14:paraId="6F1D4CFE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Type</w:t>
      </w:r>
      <w:r w:rsidR="00D63D86">
        <w:t xml:space="preserve"> of change</w:t>
      </w:r>
      <w:r w:rsidR="00E37A2A">
        <w:t xml:space="preserve">:  </w:t>
      </w:r>
      <w:r>
        <w:t xml:space="preserve">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 w:rsidR="00D63D86">
        <w:t xml:space="preserve">) </w:t>
      </w:r>
      <w:r w:rsidR="00B2186B">
        <w:t>(</w:t>
      </w:r>
      <w:r w:rsidR="00B2186B" w:rsidRPr="00B2186B">
        <w:rPr>
          <w:i/>
        </w:rPr>
        <w:t xml:space="preserve">see </w:t>
      </w:r>
      <w:hyperlink r:id="rId1" w:history="1">
        <w:r w:rsidR="00B2186B" w:rsidRPr="00B2186B">
          <w:rPr>
            <w:rStyle w:val="Hyperlink"/>
            <w:i/>
          </w:rPr>
          <w:t>ATIS OP</w:t>
        </w:r>
      </w:hyperlink>
      <w:r w:rsidR="00B2186B" w:rsidRPr="00B2186B">
        <w:rPr>
          <w:i/>
        </w:rPr>
        <w:t xml:space="preserve"> Section A.6</w:t>
      </w:r>
      <w:r w:rsidR="00B2186B">
        <w:t xml:space="preserve">) </w:t>
      </w:r>
      <w:r w:rsidR="00D63D86">
        <w:t>or</w:t>
      </w:r>
      <w:r>
        <w:t xml:space="preserve"> Non-Substantive (</w:t>
      </w:r>
      <w:r w:rsidRPr="006D16E6">
        <w:rPr>
          <w:b/>
        </w:rPr>
        <w:t>NS</w:t>
      </w:r>
      <w:r>
        <w:t>)</w:t>
      </w:r>
    </w:p>
  </w:footnote>
  <w:footnote w:id="2">
    <w:p w14:paraId="6F1D4CFF" w14:textId="77777777" w:rsidR="00DF31D9" w:rsidRDefault="00DF3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7A2A">
        <w:t>Resolution</w:t>
      </w:r>
      <w:r w:rsidR="00D63D86">
        <w:t xml:space="preserve"> (how was comment considered)</w:t>
      </w:r>
      <w:r w:rsidR="00E37A2A">
        <w:t xml:space="preserve">:  </w:t>
      </w:r>
      <w:r>
        <w:t xml:space="preserve">Insert </w:t>
      </w:r>
      <w:r w:rsidRPr="006D16E6">
        <w:rPr>
          <w:b/>
        </w:rPr>
        <w:t>A</w:t>
      </w:r>
      <w:r>
        <w:t xml:space="preserve">, </w:t>
      </w:r>
      <w:r w:rsidR="00651421" w:rsidRPr="00651421">
        <w:rPr>
          <w:b/>
        </w:rPr>
        <w:t>AM</w:t>
      </w:r>
      <w:r w:rsidR="00651421">
        <w:t xml:space="preserve">, </w:t>
      </w:r>
      <w:r w:rsidRPr="006D16E6">
        <w:rPr>
          <w:b/>
        </w:rPr>
        <w:t>N</w:t>
      </w:r>
      <w:r>
        <w:t xml:space="preserve">, </w:t>
      </w:r>
      <w:r w:rsidR="002435EA" w:rsidRPr="002435EA">
        <w:rPr>
          <w:b/>
        </w:rPr>
        <w:t>I</w:t>
      </w:r>
      <w:r w:rsidR="002435EA">
        <w:t xml:space="preserve">, </w:t>
      </w:r>
      <w:r>
        <w:t xml:space="preserve">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 w:rsidR="001F1F31">
        <w:t xml:space="preserve"> (</w:t>
      </w:r>
      <w:r w:rsidR="001F1F31" w:rsidRPr="001F1F31">
        <w:rPr>
          <w:b/>
        </w:rPr>
        <w:t>A</w:t>
      </w:r>
      <w:r w:rsidR="001F1F31">
        <w:t>)</w:t>
      </w:r>
      <w:r w:rsidRPr="00DF31D9">
        <w:t xml:space="preserve">, </w:t>
      </w:r>
      <w:r w:rsidR="00651421">
        <w:t>Accepted as Modified (</w:t>
      </w:r>
      <w:r w:rsidR="00651421" w:rsidRPr="00651421">
        <w:rPr>
          <w:b/>
        </w:rPr>
        <w:t>AM</w:t>
      </w:r>
      <w:r w:rsidR="00651421"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 w:rsidR="001916C5">
        <w:t>For Information/</w:t>
      </w:r>
      <w:r w:rsidRPr="00DF31D9">
        <w:t>No Action</w:t>
      </w:r>
      <w:r w:rsidR="002435EA">
        <w:t>/Noted</w:t>
      </w:r>
      <w:r w:rsidRPr="00DF31D9">
        <w:t xml:space="preserve"> (</w:t>
      </w:r>
      <w:r w:rsidR="001916C5"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4CFC" w14:textId="77777777" w:rsidR="00443476" w:rsidRPr="006D16E6" w:rsidRDefault="00443476" w:rsidP="006D16E6">
    <w:pPr>
      <w:pStyle w:val="TitleHeading"/>
      <w:rPr>
        <w:sz w:val="10"/>
      </w:rPr>
    </w:pPr>
    <w:r>
      <w:t>ATIS Letter Ballot Comment Submittal Form and Consideration Report</w:t>
    </w:r>
    <w:r w:rsidR="007C0AC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5"/>
    <w:rsid w:val="0002098E"/>
    <w:rsid w:val="0003051E"/>
    <w:rsid w:val="0006311F"/>
    <w:rsid w:val="00063727"/>
    <w:rsid w:val="000A3295"/>
    <w:rsid w:val="000C25AE"/>
    <w:rsid w:val="000F16F5"/>
    <w:rsid w:val="00126BBE"/>
    <w:rsid w:val="001574E2"/>
    <w:rsid w:val="00167207"/>
    <w:rsid w:val="001855FD"/>
    <w:rsid w:val="001916C5"/>
    <w:rsid w:val="001A7B35"/>
    <w:rsid w:val="001D542F"/>
    <w:rsid w:val="001F017F"/>
    <w:rsid w:val="001F1F31"/>
    <w:rsid w:val="00221959"/>
    <w:rsid w:val="00233FC6"/>
    <w:rsid w:val="00242E46"/>
    <w:rsid w:val="002435EA"/>
    <w:rsid w:val="00276046"/>
    <w:rsid w:val="002802C5"/>
    <w:rsid w:val="00282B10"/>
    <w:rsid w:val="002C4E95"/>
    <w:rsid w:val="002F2983"/>
    <w:rsid w:val="00345450"/>
    <w:rsid w:val="003534AB"/>
    <w:rsid w:val="00383A02"/>
    <w:rsid w:val="003B4C26"/>
    <w:rsid w:val="003D7141"/>
    <w:rsid w:val="003E19E2"/>
    <w:rsid w:val="003F495E"/>
    <w:rsid w:val="00415619"/>
    <w:rsid w:val="00430FB6"/>
    <w:rsid w:val="00443476"/>
    <w:rsid w:val="004A4DD5"/>
    <w:rsid w:val="004D5F9C"/>
    <w:rsid w:val="004F16E4"/>
    <w:rsid w:val="004F7BD2"/>
    <w:rsid w:val="00507C46"/>
    <w:rsid w:val="00536544"/>
    <w:rsid w:val="00556748"/>
    <w:rsid w:val="00570E18"/>
    <w:rsid w:val="005920C5"/>
    <w:rsid w:val="005B26FF"/>
    <w:rsid w:val="005D59B6"/>
    <w:rsid w:val="00604B95"/>
    <w:rsid w:val="00645C24"/>
    <w:rsid w:val="006466E2"/>
    <w:rsid w:val="00651421"/>
    <w:rsid w:val="006635EB"/>
    <w:rsid w:val="00671140"/>
    <w:rsid w:val="006941C8"/>
    <w:rsid w:val="006B29A8"/>
    <w:rsid w:val="006C0680"/>
    <w:rsid w:val="006D16E6"/>
    <w:rsid w:val="00727FCF"/>
    <w:rsid w:val="00733E3E"/>
    <w:rsid w:val="0075294D"/>
    <w:rsid w:val="007C0ACF"/>
    <w:rsid w:val="007D5FB3"/>
    <w:rsid w:val="007F1795"/>
    <w:rsid w:val="008217AB"/>
    <w:rsid w:val="00835BDB"/>
    <w:rsid w:val="00841C41"/>
    <w:rsid w:val="008424A0"/>
    <w:rsid w:val="008C75BB"/>
    <w:rsid w:val="0090736B"/>
    <w:rsid w:val="00915B59"/>
    <w:rsid w:val="0092023C"/>
    <w:rsid w:val="009550E3"/>
    <w:rsid w:val="00971F27"/>
    <w:rsid w:val="00975237"/>
    <w:rsid w:val="00992D9F"/>
    <w:rsid w:val="009B1A3A"/>
    <w:rsid w:val="009B7D50"/>
    <w:rsid w:val="009D09AE"/>
    <w:rsid w:val="009D7B09"/>
    <w:rsid w:val="00A13681"/>
    <w:rsid w:val="00A42955"/>
    <w:rsid w:val="00A52EE8"/>
    <w:rsid w:val="00A90FAD"/>
    <w:rsid w:val="00AA7A7A"/>
    <w:rsid w:val="00AB49A8"/>
    <w:rsid w:val="00AD399C"/>
    <w:rsid w:val="00AE4025"/>
    <w:rsid w:val="00B2186B"/>
    <w:rsid w:val="00B511BB"/>
    <w:rsid w:val="00B5713D"/>
    <w:rsid w:val="00B62903"/>
    <w:rsid w:val="00B71E1B"/>
    <w:rsid w:val="00BB3B06"/>
    <w:rsid w:val="00BF5ABF"/>
    <w:rsid w:val="00C03B50"/>
    <w:rsid w:val="00C216A4"/>
    <w:rsid w:val="00C2431D"/>
    <w:rsid w:val="00C31FF2"/>
    <w:rsid w:val="00C4223D"/>
    <w:rsid w:val="00C44F28"/>
    <w:rsid w:val="00C53347"/>
    <w:rsid w:val="00C75322"/>
    <w:rsid w:val="00C95007"/>
    <w:rsid w:val="00CA4C1B"/>
    <w:rsid w:val="00CC4DCD"/>
    <w:rsid w:val="00CD4995"/>
    <w:rsid w:val="00D24A07"/>
    <w:rsid w:val="00D27519"/>
    <w:rsid w:val="00D27C08"/>
    <w:rsid w:val="00D35E0A"/>
    <w:rsid w:val="00D365BD"/>
    <w:rsid w:val="00D4468D"/>
    <w:rsid w:val="00D63D86"/>
    <w:rsid w:val="00D71900"/>
    <w:rsid w:val="00DA04C2"/>
    <w:rsid w:val="00DA30EB"/>
    <w:rsid w:val="00DB15D2"/>
    <w:rsid w:val="00DF31D9"/>
    <w:rsid w:val="00E37A2A"/>
    <w:rsid w:val="00E6277E"/>
    <w:rsid w:val="00E8342B"/>
    <w:rsid w:val="00EC31DF"/>
    <w:rsid w:val="00ED7B0B"/>
    <w:rsid w:val="00F55F6D"/>
    <w:rsid w:val="00F60402"/>
    <w:rsid w:val="00F62BB3"/>
    <w:rsid w:val="00F76C77"/>
    <w:rsid w:val="00FA7F00"/>
    <w:rsid w:val="00FB48F2"/>
    <w:rsid w:val="00FB53FD"/>
    <w:rsid w:val="00FB79F5"/>
    <w:rsid w:val="00FD34D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D4C0A"/>
  <w15:docId w15:val="{3D42B00C-1628-4C33-8E7A-46E3AE3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A420-FE68-45DC-80B9-0F19536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2</cp:revision>
  <cp:lastPrinted>2019-10-07T13:27:00Z</cp:lastPrinted>
  <dcterms:created xsi:type="dcterms:W3CDTF">2019-11-06T16:20:00Z</dcterms:created>
  <dcterms:modified xsi:type="dcterms:W3CDTF">2019-11-06T16:20:00Z</dcterms:modified>
</cp:coreProperties>
</file>