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Tr="006D16E6">
        <w:trPr>
          <w:trHeight w:val="1134"/>
        </w:trPr>
        <w:tc>
          <w:tcPr>
            <w:tcW w:w="14220" w:type="dxa"/>
          </w:tcPr>
          <w:p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507C46">
        <w:rPr>
          <w:highlight w:val="yellow"/>
        </w:rPr>
        <w:t xml:space="preserve"> PTSC-LB-242</w:t>
      </w:r>
      <w:r w:rsidR="00443476" w:rsidRPr="006D16E6">
        <w:rPr>
          <w:highlight w:val="yellow"/>
        </w:rPr>
        <w:t>]</w:t>
      </w:r>
    </w:p>
    <w:p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:rsidR="00C216A4" w:rsidRPr="00C216A4" w:rsidRDefault="00C216A4" w:rsidP="005B26FF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r w:rsidR="005B26FF">
              <w:rPr>
                <w:b/>
                <w:highlight w:val="yellow"/>
              </w:rPr>
              <w:t>Neustar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415619" w:rsidTr="00282B10">
        <w:tc>
          <w:tcPr>
            <w:tcW w:w="450" w:type="dxa"/>
            <w:shd w:val="clear" w:color="auto" w:fill="D9D9D9" w:themeFill="background1" w:themeFillShade="D9"/>
          </w:tcPr>
          <w:p w:rsidR="00415619" w:rsidRDefault="00415619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415619" w:rsidRDefault="00415619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</w:t>
            </w:r>
          </w:p>
        </w:tc>
        <w:tc>
          <w:tcPr>
            <w:tcW w:w="3960" w:type="dxa"/>
          </w:tcPr>
          <w:p w:rsidR="00415619" w:rsidRDefault="00415619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“ATIS-1000074” to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415619" w:rsidRDefault="00415619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B26FF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</w:t>
            </w:r>
          </w:p>
        </w:tc>
        <w:tc>
          <w:tcPr>
            <w:tcW w:w="3960" w:type="dxa"/>
          </w:tcPr>
          <w:p w:rsidR="00C31FF2" w:rsidRPr="006D16E6" w:rsidRDefault="005B26FF" w:rsidP="002760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to last sentence, “without requiring service providers to make changes to their current </w:t>
            </w:r>
            <w:r w:rsidR="00276046">
              <w:rPr>
                <w:sz w:val="22"/>
                <w:szCs w:val="22"/>
              </w:rPr>
              <w:t xml:space="preserve">standard </w:t>
            </w:r>
            <w:r>
              <w:rPr>
                <w:sz w:val="22"/>
                <w:szCs w:val="22"/>
              </w:rPr>
              <w:t>SHAKEN interfaces.”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5B26FF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clear the intent.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07C46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1</w:t>
            </w:r>
            <w:r w:rsidR="00C53347">
              <w:rPr>
                <w:sz w:val="22"/>
                <w:szCs w:val="22"/>
              </w:rPr>
              <w:t>/</w:t>
            </w:r>
            <w:r w:rsidR="005B26FF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3960" w:type="dxa"/>
          </w:tcPr>
          <w:p w:rsidR="00C31FF2" w:rsidRPr="006D16E6" w:rsidRDefault="005B26FF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“specify” to something non-normative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5B26FF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throughout since not a</w:t>
            </w:r>
            <w:r w:rsidR="00B5713D">
              <w:rPr>
                <w:sz w:val="22"/>
                <w:szCs w:val="22"/>
              </w:rPr>
              <w:t xml:space="preserve"> standard (includes “specifies”).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733E3E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3</w:t>
            </w:r>
            <w:r w:rsidR="00C533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C31FF2" w:rsidRPr="006D16E6" w:rsidRDefault="003F495E" w:rsidP="003F495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</w:t>
            </w:r>
            <w:r w:rsidR="00733E3E">
              <w:rPr>
                <w:sz w:val="22"/>
                <w:szCs w:val="22"/>
              </w:rPr>
              <w:t>Policy Management Authority” to “</w:t>
            </w:r>
            <w:r>
              <w:rPr>
                <w:sz w:val="22"/>
                <w:szCs w:val="22"/>
              </w:rPr>
              <w:t>stakeholders</w:t>
            </w:r>
            <w:r w:rsidR="00733E3E">
              <w:rPr>
                <w:sz w:val="22"/>
                <w:szCs w:val="22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3F495E" w:rsidP="003F495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mostly likely a </w:t>
            </w:r>
            <w:r w:rsidR="00733E3E">
              <w:rPr>
                <w:sz w:val="22"/>
                <w:szCs w:val="22"/>
              </w:rPr>
              <w:t>STI-GA</w:t>
            </w:r>
            <w:r>
              <w:rPr>
                <w:sz w:val="22"/>
                <w:szCs w:val="22"/>
              </w:rPr>
              <w:t>, but no need to introduce this term (only used once).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2C11B1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507C46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</w:t>
            </w:r>
            <w:r w:rsidR="00733E3E">
              <w:rPr>
                <w:sz w:val="22"/>
                <w:szCs w:val="22"/>
              </w:rPr>
              <w:t>3</w:t>
            </w:r>
            <w:r w:rsidR="00C53347">
              <w:rPr>
                <w:sz w:val="22"/>
                <w:szCs w:val="22"/>
              </w:rPr>
              <w:t>/</w:t>
            </w:r>
            <w:r w:rsidR="00733E3E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507C46" w:rsidRPr="006D16E6" w:rsidRDefault="00733E3E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“such as the STI-GA”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733E3E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“authority” is clear enough and avoids adding confusion.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507C46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</w:t>
            </w:r>
            <w:r w:rsidR="00B511BB">
              <w:rPr>
                <w:sz w:val="22"/>
                <w:szCs w:val="22"/>
              </w:rPr>
              <w:t>4</w:t>
            </w:r>
            <w:r w:rsidR="00C53347">
              <w:rPr>
                <w:sz w:val="22"/>
                <w:szCs w:val="22"/>
              </w:rPr>
              <w:t>/</w:t>
            </w:r>
            <w:r w:rsidR="00B511BB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507C46" w:rsidRPr="006D16E6" w:rsidRDefault="00B511BB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“Authorities” to “authorities”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B511BB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need to imply something with the capital “A”.  Also, change throughout when used in this context.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B511BB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</w:t>
            </w:r>
            <w:r w:rsidR="00B5713D">
              <w:rPr>
                <w:sz w:val="22"/>
                <w:szCs w:val="22"/>
              </w:rPr>
              <w:t>8/4.3</w:t>
            </w:r>
          </w:p>
        </w:tc>
        <w:tc>
          <w:tcPr>
            <w:tcW w:w="3960" w:type="dxa"/>
          </w:tcPr>
          <w:p w:rsidR="00507C46" w:rsidRPr="006D16E6" w:rsidRDefault="00B5713D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sentence after Figure 9 to before and change accordingly.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B5713D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 and clearer.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B5713D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8/4.3.1</w:t>
            </w:r>
          </w:p>
        </w:tc>
        <w:tc>
          <w:tcPr>
            <w:tcW w:w="3960" w:type="dxa"/>
          </w:tcPr>
          <w:p w:rsidR="00507C46" w:rsidRPr="006D16E6" w:rsidRDefault="00B5713D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“shall”</w:t>
            </w:r>
            <w:r w:rsidR="003F495E">
              <w:rPr>
                <w:sz w:val="22"/>
                <w:szCs w:val="22"/>
              </w:rPr>
              <w:t xml:space="preserve"> to something non-normative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B5713D" w:rsidP="00B57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throughout, unless referencing a particular standard or SHAKEN requirem</w:t>
            </w:r>
            <w:r w:rsidR="003F495E">
              <w:rPr>
                <w:sz w:val="22"/>
                <w:szCs w:val="22"/>
              </w:rPr>
              <w:t xml:space="preserve">ent, as this document </w:t>
            </w:r>
            <w:r>
              <w:rPr>
                <w:sz w:val="22"/>
                <w:szCs w:val="22"/>
              </w:rPr>
              <w:t>is not a standard.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B5713D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8/4.3.1</w:t>
            </w:r>
          </w:p>
        </w:tc>
        <w:tc>
          <w:tcPr>
            <w:tcW w:w="3960" w:type="dxa"/>
          </w:tcPr>
          <w:p w:rsidR="00C53347" w:rsidRPr="006D16E6" w:rsidRDefault="00556748" w:rsidP="0055674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“… Issuer Name” to “… Issuer Name “Country</w:t>
            </w:r>
            <w:r w:rsidR="00570E1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fields” to first sentence.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556748" w:rsidP="004F16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 if this is the intent here.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E8342B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8/4.3.1</w:t>
            </w:r>
          </w:p>
        </w:tc>
        <w:tc>
          <w:tcPr>
            <w:tcW w:w="3960" w:type="dxa"/>
          </w:tcPr>
          <w:p w:rsidR="00C53347" w:rsidRPr="006D16E6" w:rsidRDefault="00E8342B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one instance of “STi-CA” to “STI-CA”</w:t>
            </w:r>
            <w:r w:rsidR="00570E18">
              <w:rPr>
                <w:sz w:val="22"/>
                <w:szCs w:val="22"/>
              </w:rPr>
              <w:t xml:space="preserve"> towards end of sub-section</w:t>
            </w:r>
            <w:bookmarkStart w:id="0" w:name="_GoBack"/>
            <w:bookmarkEnd w:id="0"/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E8342B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</w:tbl>
    <w:p w:rsidR="008424A0" w:rsidRPr="008424A0" w:rsidRDefault="008424A0" w:rsidP="008424A0"/>
    <w:p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81" w:rsidRDefault="00A13681" w:rsidP="008424A0">
      <w:pPr>
        <w:spacing w:before="0" w:after="0"/>
      </w:pPr>
      <w:r>
        <w:separator/>
      </w:r>
    </w:p>
  </w:endnote>
  <w:endnote w:type="continuationSeparator" w:id="0">
    <w:p w:rsidR="00A13681" w:rsidRDefault="00A13681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81" w:rsidRDefault="00A13681" w:rsidP="008424A0">
      <w:pPr>
        <w:spacing w:before="0" w:after="0"/>
      </w:pPr>
      <w:r>
        <w:separator/>
      </w:r>
    </w:p>
  </w:footnote>
  <w:footnote w:type="continuationSeparator" w:id="0">
    <w:p w:rsidR="00A13681" w:rsidRDefault="00A13681" w:rsidP="008424A0">
      <w:pPr>
        <w:spacing w:before="0" w:after="0"/>
      </w:pPr>
      <w:r>
        <w:continuationSeparator/>
      </w:r>
    </w:p>
  </w:footnote>
  <w:footnote w:id="1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5"/>
    <w:rsid w:val="0003051E"/>
    <w:rsid w:val="0006311F"/>
    <w:rsid w:val="00063727"/>
    <w:rsid w:val="000A3295"/>
    <w:rsid w:val="000C25AE"/>
    <w:rsid w:val="000F16F5"/>
    <w:rsid w:val="00126BBE"/>
    <w:rsid w:val="001574E2"/>
    <w:rsid w:val="001916C5"/>
    <w:rsid w:val="001A7B35"/>
    <w:rsid w:val="001D542F"/>
    <w:rsid w:val="001F1F31"/>
    <w:rsid w:val="00233FC6"/>
    <w:rsid w:val="00242E46"/>
    <w:rsid w:val="002435EA"/>
    <w:rsid w:val="00276046"/>
    <w:rsid w:val="002802C5"/>
    <w:rsid w:val="00282B10"/>
    <w:rsid w:val="002C4E95"/>
    <w:rsid w:val="002F2983"/>
    <w:rsid w:val="00345450"/>
    <w:rsid w:val="003B4C26"/>
    <w:rsid w:val="003D7141"/>
    <w:rsid w:val="003E19E2"/>
    <w:rsid w:val="003F495E"/>
    <w:rsid w:val="00415619"/>
    <w:rsid w:val="00430FB6"/>
    <w:rsid w:val="00443476"/>
    <w:rsid w:val="004A4DD5"/>
    <w:rsid w:val="004D5F9C"/>
    <w:rsid w:val="004F16E4"/>
    <w:rsid w:val="004F7BD2"/>
    <w:rsid w:val="00507C46"/>
    <w:rsid w:val="00536544"/>
    <w:rsid w:val="00556748"/>
    <w:rsid w:val="00570E18"/>
    <w:rsid w:val="005920C5"/>
    <w:rsid w:val="005B26FF"/>
    <w:rsid w:val="005D59B6"/>
    <w:rsid w:val="00604B95"/>
    <w:rsid w:val="00651421"/>
    <w:rsid w:val="006635EB"/>
    <w:rsid w:val="00671140"/>
    <w:rsid w:val="006941C8"/>
    <w:rsid w:val="006B29A8"/>
    <w:rsid w:val="006C0680"/>
    <w:rsid w:val="006D16E6"/>
    <w:rsid w:val="00733E3E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13681"/>
    <w:rsid w:val="00A52EE8"/>
    <w:rsid w:val="00A90FAD"/>
    <w:rsid w:val="00AA7A7A"/>
    <w:rsid w:val="00AB49A8"/>
    <w:rsid w:val="00AD399C"/>
    <w:rsid w:val="00AE4025"/>
    <w:rsid w:val="00B2186B"/>
    <w:rsid w:val="00B511BB"/>
    <w:rsid w:val="00B5713D"/>
    <w:rsid w:val="00B62903"/>
    <w:rsid w:val="00BB3B06"/>
    <w:rsid w:val="00BF5ABF"/>
    <w:rsid w:val="00C03B50"/>
    <w:rsid w:val="00C216A4"/>
    <w:rsid w:val="00C2431D"/>
    <w:rsid w:val="00C31FF2"/>
    <w:rsid w:val="00C44F28"/>
    <w:rsid w:val="00C53347"/>
    <w:rsid w:val="00C75322"/>
    <w:rsid w:val="00C95007"/>
    <w:rsid w:val="00CA4C1B"/>
    <w:rsid w:val="00CD4995"/>
    <w:rsid w:val="00D24A07"/>
    <w:rsid w:val="00D27519"/>
    <w:rsid w:val="00D27C08"/>
    <w:rsid w:val="00D35E0A"/>
    <w:rsid w:val="00D365BD"/>
    <w:rsid w:val="00D4468D"/>
    <w:rsid w:val="00D63D86"/>
    <w:rsid w:val="00DA04C2"/>
    <w:rsid w:val="00DF31D9"/>
    <w:rsid w:val="00E37A2A"/>
    <w:rsid w:val="00E8342B"/>
    <w:rsid w:val="00ED7B0B"/>
    <w:rsid w:val="00F55F6D"/>
    <w:rsid w:val="00F60402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FD96-54DB-4B3C-B09F-220D209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Politz, Ken</cp:lastModifiedBy>
  <cp:revision>10</cp:revision>
  <cp:lastPrinted>2019-10-06T16:14:00Z</cp:lastPrinted>
  <dcterms:created xsi:type="dcterms:W3CDTF">2019-10-06T15:30:00Z</dcterms:created>
  <dcterms:modified xsi:type="dcterms:W3CDTF">2019-10-06T16:39:00Z</dcterms:modified>
</cp:coreProperties>
</file>