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:rsidTr="006D16E6">
        <w:trPr>
          <w:trHeight w:val="1134"/>
        </w:trPr>
        <w:tc>
          <w:tcPr>
            <w:tcW w:w="14220" w:type="dxa"/>
          </w:tcPr>
          <w:p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 xml:space="preserve">Letter Ballot: </w:t>
      </w:r>
      <w:r w:rsidR="00C31FF2">
        <w:t xml:space="preserve"> </w:t>
      </w:r>
      <w:r w:rsidR="00443476" w:rsidRPr="006D16E6">
        <w:rPr>
          <w:highlight w:val="yellow"/>
        </w:rPr>
        <w:t>[</w:t>
      </w:r>
      <w:r w:rsidR="00507C46">
        <w:rPr>
          <w:highlight w:val="yellow"/>
        </w:rPr>
        <w:t>PTSC</w:t>
      </w:r>
      <w:r w:rsidR="00FE222B">
        <w:rPr>
          <w:highlight w:val="yellow"/>
        </w:rPr>
        <w:t xml:space="preserve"> &amp;</w:t>
      </w:r>
      <w:r w:rsidR="00507C46">
        <w:rPr>
          <w:highlight w:val="yellow"/>
        </w:rPr>
        <w:t xml:space="preserve"> PTSC-LB-242</w:t>
      </w:r>
      <w:r w:rsidR="00443476" w:rsidRPr="006D16E6">
        <w:rPr>
          <w:highlight w:val="yellow"/>
        </w:rPr>
        <w:t>]</w:t>
      </w:r>
    </w:p>
    <w:p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:rsidR="00C216A4" w:rsidRPr="00C216A4" w:rsidRDefault="00C216A4" w:rsidP="00507C46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r w:rsidR="00507C46">
              <w:rPr>
                <w:b/>
                <w:highlight w:val="yellow"/>
              </w:rPr>
              <w:t>Charter Communication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507C46" w:rsidP="00C31F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53347">
              <w:rPr>
                <w:sz w:val="22"/>
                <w:szCs w:val="22"/>
              </w:rPr>
              <w:t>ii/</w:t>
            </w:r>
            <w:r>
              <w:rPr>
                <w:sz w:val="22"/>
                <w:szCs w:val="22"/>
              </w:rPr>
              <w:t xml:space="preserve"> Foreword</w:t>
            </w:r>
            <w:r w:rsidR="00C533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3</w:t>
            </w:r>
            <w:r w:rsidRPr="00507C46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paragraph</w:t>
            </w:r>
          </w:p>
        </w:tc>
        <w:tc>
          <w:tcPr>
            <w:tcW w:w="3960" w:type="dxa"/>
          </w:tcPr>
          <w:p w:rsidR="00C31FF2" w:rsidRPr="006D16E6" w:rsidRDefault="00FE222B" w:rsidP="00FE2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delete this paragraph if do not delete correct typo” </w:t>
            </w:r>
            <w:r w:rsidR="00507C46">
              <w:rPr>
                <w:sz w:val="22"/>
                <w:szCs w:val="22"/>
              </w:rPr>
              <w:t>“</w:t>
            </w:r>
            <w:proofErr w:type="spellStart"/>
            <w:r w:rsidR="00507C46">
              <w:rPr>
                <w:sz w:val="22"/>
                <w:szCs w:val="22"/>
              </w:rPr>
              <w:t>a</w:t>
            </w:r>
            <w:proofErr w:type="spellEnd"/>
            <w:r w:rsidR="00507C46">
              <w:rPr>
                <w:sz w:val="22"/>
                <w:szCs w:val="22"/>
              </w:rPr>
              <w:t xml:space="preserve"> optional” should be “an optional”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FE222B" w:rsidP="00FE2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paragraph is only applicable to a standard document not a technical report so no</w:t>
            </w:r>
            <w:bookmarkStart w:id="0" w:name="_GoBack"/>
            <w:bookmarkEnd w:id="0"/>
            <w:r>
              <w:rPr>
                <w:sz w:val="22"/>
                <w:szCs w:val="22"/>
              </w:rPr>
              <w:t>t needed.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507C46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C533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3960" w:type="dxa"/>
          </w:tcPr>
          <w:p w:rsidR="00C31FF2" w:rsidRPr="006D16E6" w:rsidRDefault="00507C4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“This will specify” should be “This document will specify”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507C4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:rsidTr="00282B10">
        <w:tc>
          <w:tcPr>
            <w:tcW w:w="450" w:type="dxa"/>
            <w:shd w:val="clear" w:color="auto" w:fill="D9D9D9" w:themeFill="background1" w:themeFillShade="D9"/>
          </w:tcPr>
          <w:p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C31FF2" w:rsidRPr="006D16E6" w:rsidRDefault="00507C46" w:rsidP="00C31F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C5334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1.3</w:t>
            </w:r>
          </w:p>
        </w:tc>
        <w:tc>
          <w:tcPr>
            <w:tcW w:w="3960" w:type="dxa"/>
          </w:tcPr>
          <w:p w:rsidR="00C31FF2" w:rsidRPr="006D16E6" w:rsidRDefault="00507C4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“in this standard” should be “in this technical report”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C31FF2" w:rsidRPr="006D16E6" w:rsidRDefault="00507C4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document is a  technical report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2C11B1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53347">
              <w:rPr>
                <w:sz w:val="22"/>
                <w:szCs w:val="22"/>
              </w:rPr>
              <w:t>1</w:t>
            </w:r>
            <w:proofErr w:type="gramStart"/>
            <w:r w:rsidR="00C53347">
              <w:rPr>
                <w:sz w:val="22"/>
                <w:szCs w:val="22"/>
              </w:rPr>
              <w:t>,/</w:t>
            </w:r>
            <w:proofErr w:type="gramEnd"/>
            <w:r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“Normative” from section title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 normative document so references aren’t normative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2C11B1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53347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507C46" w:rsidRPr="006D16E6" w:rsidRDefault="00BB3B06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occurrences of “this S</w:t>
            </w:r>
            <w:r w:rsidR="00507C46">
              <w:rPr>
                <w:sz w:val="22"/>
                <w:szCs w:val="22"/>
              </w:rPr>
              <w:t>tandard” should be “this technical report</w:t>
            </w:r>
            <w:r w:rsidR="00835BDB">
              <w:rPr>
                <w:sz w:val="22"/>
                <w:szCs w:val="22"/>
              </w:rPr>
              <w:t>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document is a  technical report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Pgs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C53347">
              <w:rPr>
                <w:sz w:val="22"/>
                <w:szCs w:val="22"/>
              </w:rPr>
              <w:t>-2/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3960" w:type="dxa"/>
          </w:tcPr>
          <w:p w:rsidR="00507C46" w:rsidRPr="006D16E6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Delete all </w:t>
            </w:r>
            <w:r w:rsidR="00835BDB">
              <w:rPr>
                <w:sz w:val="22"/>
                <w:szCs w:val="22"/>
              </w:rPr>
              <w:t xml:space="preserve">existing </w:t>
            </w:r>
            <w:r>
              <w:rPr>
                <w:sz w:val="22"/>
                <w:szCs w:val="22"/>
              </w:rPr>
              <w:t>references except to ATIS-1000084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AB49A8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</w:t>
            </w:r>
            <w:r w:rsidR="00C53347">
              <w:rPr>
                <w:sz w:val="22"/>
                <w:szCs w:val="22"/>
              </w:rPr>
              <w:t xml:space="preserve">ther </w:t>
            </w:r>
            <w:r>
              <w:rPr>
                <w:sz w:val="22"/>
                <w:szCs w:val="22"/>
              </w:rPr>
              <w:t xml:space="preserve">listed </w:t>
            </w:r>
            <w:r w:rsidR="00C53347">
              <w:rPr>
                <w:sz w:val="22"/>
                <w:szCs w:val="22"/>
              </w:rPr>
              <w:t>documents are not referred to</w:t>
            </w:r>
            <w:r w:rsidR="00BB3B06">
              <w:rPr>
                <w:sz w:val="22"/>
                <w:szCs w:val="22"/>
              </w:rPr>
              <w:t xml:space="preserve"> in the document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C53347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Pgs</w:t>
            </w:r>
            <w:proofErr w:type="spellEnd"/>
            <w:r>
              <w:rPr>
                <w:sz w:val="22"/>
                <w:szCs w:val="22"/>
              </w:rPr>
              <w:t xml:space="preserve"> 1-2/ 2.</w:t>
            </w:r>
          </w:p>
        </w:tc>
        <w:tc>
          <w:tcPr>
            <w:tcW w:w="3960" w:type="dxa"/>
          </w:tcPr>
          <w:p w:rsidR="00507C46" w:rsidRPr="006D16E6" w:rsidRDefault="00C53347" w:rsidP="00BB3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references to ISO 3166, RFCs 4648, 7519, and 7231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Missing referenced documents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C53347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Pgs</w:t>
            </w:r>
            <w:proofErr w:type="spellEnd"/>
            <w:r>
              <w:rPr>
                <w:sz w:val="22"/>
                <w:szCs w:val="22"/>
              </w:rPr>
              <w:t xml:space="preserve"> 2-3/ 3.2</w:t>
            </w:r>
          </w:p>
        </w:tc>
        <w:tc>
          <w:tcPr>
            <w:tcW w:w="3960" w:type="dxa"/>
          </w:tcPr>
          <w:p w:rsidR="00507C46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following Acronyms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3GPP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B2BUA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CSCF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CVT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IBCF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IMS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JWS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PKI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SKS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SPC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TLS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TrGW</w:t>
            </w:r>
            <w:proofErr w:type="spellEnd"/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</w:t>
            </w:r>
          </w:p>
          <w:p w:rsidR="00C53347" w:rsidRPr="006D16E6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UUID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Acronyms not used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C53347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Pgs</w:t>
            </w:r>
            <w:proofErr w:type="spellEnd"/>
            <w:r>
              <w:rPr>
                <w:sz w:val="22"/>
                <w:szCs w:val="22"/>
              </w:rPr>
              <w:t xml:space="preserve"> 2-3/ 3.2</w:t>
            </w:r>
          </w:p>
        </w:tc>
        <w:tc>
          <w:tcPr>
            <w:tcW w:w="3960" w:type="dxa"/>
          </w:tcPr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the following Acronyms</w:t>
            </w:r>
          </w:p>
          <w:p w:rsidR="00C53347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   Country Code</w:t>
            </w:r>
          </w:p>
          <w:p w:rsidR="00C53347" w:rsidRPr="006D16E6" w:rsidRDefault="00C53347" w:rsidP="00C53347">
            <w:pPr>
              <w:rPr>
                <w:sz w:val="22"/>
                <w:szCs w:val="22"/>
              </w:rPr>
            </w:pPr>
            <w:r w:rsidRPr="00C53347">
              <w:rPr>
                <w:sz w:val="22"/>
                <w:szCs w:val="22"/>
              </w:rPr>
              <w:t>URL Uniform Resource Locator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C5334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Missing Acronyms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C53347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3/ 4./ 1</w:t>
            </w:r>
            <w:r w:rsidRPr="00C5334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paragraph</w:t>
            </w:r>
          </w:p>
        </w:tc>
        <w:tc>
          <w:tcPr>
            <w:tcW w:w="3960" w:type="dxa"/>
          </w:tcPr>
          <w:p w:rsidR="00835BDB" w:rsidRPr="006D16E6" w:rsidRDefault="00835BDB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First occurrence of STI-GA spell out acronym: “</w:t>
            </w:r>
          </w:p>
          <w:p w:rsidR="00507C46" w:rsidRPr="00835BDB" w:rsidRDefault="00835BDB" w:rsidP="00835BDB">
            <w:pPr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Secure </w:t>
            </w:r>
            <w:r w:rsidRPr="00835BDB">
              <w:rPr>
                <w:sz w:val="22"/>
                <w:szCs w:val="22"/>
              </w:rPr>
              <w:t>Telephone Identity Governance Authority (STI-GA)”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835BDB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editorial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BB3B06" w:rsidTr="002C11B1">
        <w:tc>
          <w:tcPr>
            <w:tcW w:w="450" w:type="dxa"/>
            <w:shd w:val="clear" w:color="auto" w:fill="D9D9D9" w:themeFill="background1" w:themeFillShade="D9"/>
          </w:tcPr>
          <w:p w:rsidR="00BB3B06" w:rsidRDefault="00BB3B0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BB3B06" w:rsidRDefault="00BB3B06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6/4.2/ 1</w:t>
            </w:r>
            <w:r w:rsidRPr="00BB3B0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paragraph</w:t>
            </w:r>
          </w:p>
        </w:tc>
        <w:tc>
          <w:tcPr>
            <w:tcW w:w="3960" w:type="dxa"/>
          </w:tcPr>
          <w:p w:rsidR="00D365BD" w:rsidRDefault="00BB3B06" w:rsidP="00BB3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Replace “single Authority” with </w:t>
            </w:r>
          </w:p>
          <w:p w:rsidR="00BB3B06" w:rsidRDefault="00D365BD" w:rsidP="00D36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“single STI-GA”</w:t>
            </w:r>
            <w:r w:rsidR="00BB3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B3B06" w:rsidRDefault="00BB3B06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 clarification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B3B06" w:rsidRPr="006D16E6" w:rsidRDefault="00BB3B0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B3B06" w:rsidRPr="006D16E6" w:rsidRDefault="00BB3B0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BB3B06" w:rsidRPr="006D16E6" w:rsidRDefault="00BB3B06" w:rsidP="00507C46">
            <w:pPr>
              <w:rPr>
                <w:sz w:val="22"/>
                <w:szCs w:val="22"/>
              </w:rPr>
            </w:pPr>
          </w:p>
        </w:tc>
      </w:tr>
      <w:tr w:rsidR="00507C46" w:rsidTr="002C11B1">
        <w:tc>
          <w:tcPr>
            <w:tcW w:w="450" w:type="dxa"/>
            <w:shd w:val="clear" w:color="auto" w:fill="D9D9D9" w:themeFill="background1" w:themeFillShade="D9"/>
          </w:tcPr>
          <w:p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507C46" w:rsidRPr="006D16E6" w:rsidRDefault="00835BDB" w:rsidP="00507C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9, 4.3.2</w:t>
            </w:r>
          </w:p>
        </w:tc>
        <w:tc>
          <w:tcPr>
            <w:tcW w:w="3960" w:type="dxa"/>
          </w:tcPr>
          <w:p w:rsidR="00507C46" w:rsidRPr="006D16E6" w:rsidRDefault="00835BDB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Replace “STICAs” with “STI-CAs”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507C46" w:rsidRPr="006D16E6" w:rsidRDefault="00835BDB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BB3B06" w:rsidTr="002C11B1">
        <w:tc>
          <w:tcPr>
            <w:tcW w:w="450" w:type="dxa"/>
            <w:shd w:val="clear" w:color="auto" w:fill="D9D9D9" w:themeFill="background1" w:themeFillShade="D9"/>
          </w:tcPr>
          <w:p w:rsidR="00BB3B06" w:rsidRDefault="00BB3B06" w:rsidP="00BB3B0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BB3B06" w:rsidRDefault="00BB3B06" w:rsidP="00BB3B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9/4.3.3</w:t>
            </w:r>
          </w:p>
        </w:tc>
        <w:tc>
          <w:tcPr>
            <w:tcW w:w="3960" w:type="dxa"/>
          </w:tcPr>
          <w:p w:rsidR="00D365BD" w:rsidRDefault="00BB3B06" w:rsidP="00D36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Replace “the Authority” </w:t>
            </w:r>
            <w:r w:rsidR="00D365BD">
              <w:rPr>
                <w:sz w:val="22"/>
                <w:szCs w:val="22"/>
              </w:rPr>
              <w:t>with</w:t>
            </w:r>
          </w:p>
          <w:p w:rsidR="00D365BD" w:rsidRDefault="00D365BD" w:rsidP="00D36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STI-GA” </w:t>
            </w:r>
          </w:p>
          <w:p w:rsidR="00BB3B06" w:rsidRDefault="00BB3B06" w:rsidP="00D365B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B3B06" w:rsidRDefault="00BB3B06" w:rsidP="00BB3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 clarification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BB3B06" w:rsidRPr="006D16E6" w:rsidRDefault="00BB3B06" w:rsidP="00BB3B0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B3B06" w:rsidRPr="006D16E6" w:rsidRDefault="00BB3B06" w:rsidP="00BB3B0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BB3B06" w:rsidRPr="006D16E6" w:rsidRDefault="00BB3B06" w:rsidP="00BB3B06">
            <w:pPr>
              <w:rPr>
                <w:sz w:val="22"/>
                <w:szCs w:val="22"/>
              </w:rPr>
            </w:pPr>
          </w:p>
        </w:tc>
      </w:tr>
      <w:tr w:rsidR="00D365BD" w:rsidTr="002C11B1">
        <w:tc>
          <w:tcPr>
            <w:tcW w:w="450" w:type="dxa"/>
            <w:shd w:val="clear" w:color="auto" w:fill="D9D9D9" w:themeFill="background1" w:themeFillShade="D9"/>
          </w:tcPr>
          <w:p w:rsidR="00D365BD" w:rsidRDefault="00D365BD" w:rsidP="00D365BD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:rsidR="00D365BD" w:rsidRDefault="00D365BD" w:rsidP="00D365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9/4.4</w:t>
            </w:r>
          </w:p>
        </w:tc>
        <w:tc>
          <w:tcPr>
            <w:tcW w:w="3960" w:type="dxa"/>
          </w:tcPr>
          <w:p w:rsidR="00D365BD" w:rsidRPr="006D16E6" w:rsidRDefault="00D365BD" w:rsidP="00D36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“This standard” should be “This technical report”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D365BD" w:rsidRPr="006D16E6" w:rsidRDefault="00D365BD" w:rsidP="00D36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document is a  technical report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:rsidR="00D365BD" w:rsidRPr="006D16E6" w:rsidRDefault="00D365BD" w:rsidP="00D365BD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D365BD" w:rsidRPr="006D16E6" w:rsidRDefault="00D365BD" w:rsidP="00D365BD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:rsidR="00D365BD" w:rsidRPr="006D16E6" w:rsidRDefault="00D365BD" w:rsidP="00D365BD">
            <w:pPr>
              <w:rPr>
                <w:sz w:val="22"/>
                <w:szCs w:val="22"/>
              </w:rPr>
            </w:pPr>
          </w:p>
        </w:tc>
      </w:tr>
    </w:tbl>
    <w:p w:rsidR="008424A0" w:rsidRPr="008424A0" w:rsidRDefault="008424A0" w:rsidP="008424A0"/>
    <w:p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6D" w:rsidRDefault="00F55F6D" w:rsidP="008424A0">
      <w:pPr>
        <w:spacing w:before="0" w:after="0"/>
      </w:pPr>
      <w:r>
        <w:separator/>
      </w:r>
    </w:p>
  </w:endnote>
  <w:endnote w:type="continuationSeparator" w:id="0">
    <w:p w:rsidR="00F55F6D" w:rsidRDefault="00F55F6D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2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6D" w:rsidRDefault="00F55F6D" w:rsidP="008424A0">
      <w:pPr>
        <w:spacing w:before="0" w:after="0"/>
      </w:pPr>
      <w:r>
        <w:separator/>
      </w:r>
    </w:p>
  </w:footnote>
  <w:footnote w:type="continuationSeparator" w:id="0">
    <w:p w:rsidR="00F55F6D" w:rsidRDefault="00F55F6D" w:rsidP="008424A0">
      <w:pPr>
        <w:spacing w:before="0" w:after="0"/>
      </w:pPr>
      <w:r>
        <w:continuationSeparator/>
      </w:r>
    </w:p>
  </w:footnote>
  <w:footnote w:id="1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F5"/>
    <w:rsid w:val="0006311F"/>
    <w:rsid w:val="00063727"/>
    <w:rsid w:val="000A3295"/>
    <w:rsid w:val="000F16F5"/>
    <w:rsid w:val="00126BBE"/>
    <w:rsid w:val="001574E2"/>
    <w:rsid w:val="001916C5"/>
    <w:rsid w:val="001A7B35"/>
    <w:rsid w:val="001D542F"/>
    <w:rsid w:val="001F1F31"/>
    <w:rsid w:val="00233FC6"/>
    <w:rsid w:val="00242E46"/>
    <w:rsid w:val="002435EA"/>
    <w:rsid w:val="002802C5"/>
    <w:rsid w:val="00282B10"/>
    <w:rsid w:val="002C4E95"/>
    <w:rsid w:val="002F2983"/>
    <w:rsid w:val="00345450"/>
    <w:rsid w:val="003B4C26"/>
    <w:rsid w:val="003D7141"/>
    <w:rsid w:val="003E19E2"/>
    <w:rsid w:val="00430FB6"/>
    <w:rsid w:val="00443476"/>
    <w:rsid w:val="004A4DD5"/>
    <w:rsid w:val="004D5F9C"/>
    <w:rsid w:val="004F7BD2"/>
    <w:rsid w:val="00507C46"/>
    <w:rsid w:val="00536544"/>
    <w:rsid w:val="005D59B6"/>
    <w:rsid w:val="00604B95"/>
    <w:rsid w:val="00651421"/>
    <w:rsid w:val="006635EB"/>
    <w:rsid w:val="00671140"/>
    <w:rsid w:val="006941C8"/>
    <w:rsid w:val="006B29A8"/>
    <w:rsid w:val="006C0680"/>
    <w:rsid w:val="006D16E6"/>
    <w:rsid w:val="0075294D"/>
    <w:rsid w:val="007C0ACF"/>
    <w:rsid w:val="007D5FB3"/>
    <w:rsid w:val="007F1795"/>
    <w:rsid w:val="008217AB"/>
    <w:rsid w:val="00835BDB"/>
    <w:rsid w:val="00841C41"/>
    <w:rsid w:val="008424A0"/>
    <w:rsid w:val="008C75BB"/>
    <w:rsid w:val="0090736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52EE8"/>
    <w:rsid w:val="00A90FAD"/>
    <w:rsid w:val="00AA7A7A"/>
    <w:rsid w:val="00AB49A8"/>
    <w:rsid w:val="00AE4025"/>
    <w:rsid w:val="00B2186B"/>
    <w:rsid w:val="00B62903"/>
    <w:rsid w:val="00BB3B06"/>
    <w:rsid w:val="00BF5ABF"/>
    <w:rsid w:val="00C03B50"/>
    <w:rsid w:val="00C216A4"/>
    <w:rsid w:val="00C2431D"/>
    <w:rsid w:val="00C31FF2"/>
    <w:rsid w:val="00C44F28"/>
    <w:rsid w:val="00C53347"/>
    <w:rsid w:val="00C75322"/>
    <w:rsid w:val="00C95007"/>
    <w:rsid w:val="00CA4C1B"/>
    <w:rsid w:val="00D24A07"/>
    <w:rsid w:val="00D27519"/>
    <w:rsid w:val="00D27C08"/>
    <w:rsid w:val="00D35E0A"/>
    <w:rsid w:val="00D365BD"/>
    <w:rsid w:val="00D4468D"/>
    <w:rsid w:val="00D63D86"/>
    <w:rsid w:val="00DF31D9"/>
    <w:rsid w:val="00E37A2A"/>
    <w:rsid w:val="00ED7B0B"/>
    <w:rsid w:val="00F55F6D"/>
    <w:rsid w:val="00F60402"/>
    <w:rsid w:val="00FA7F00"/>
    <w:rsid w:val="00FB48F2"/>
    <w:rsid w:val="00FB53FD"/>
    <w:rsid w:val="00FB79F5"/>
    <w:rsid w:val="00FD34D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DE97-FF97-46BB-98A7-2E0D645D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Dianda, Robert</cp:lastModifiedBy>
  <cp:revision>6</cp:revision>
  <cp:lastPrinted>2015-02-04T18:26:00Z</cp:lastPrinted>
  <dcterms:created xsi:type="dcterms:W3CDTF">2019-09-05T15:54:00Z</dcterms:created>
  <dcterms:modified xsi:type="dcterms:W3CDTF">2019-09-09T16:25:00Z</dcterms:modified>
</cp:coreProperties>
</file>