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In the “enterprise” or “organization” context, the SHAKEN attestation procedure can be thought of as an identity, authentication, and telephone number authorization check at the user-to-network interface.  This document offers a proposal to treat the authentication of a customer and/or TN assignee/</w:t>
      </w:r>
      <w:proofErr w:type="spellStart"/>
      <w:r>
        <w:rPr>
          <w:bCs/>
          <w:color w:val="000000"/>
        </w:rPr>
        <w:t>delegee</w:t>
      </w:r>
      <w:proofErr w:type="spellEnd"/>
      <w:r>
        <w:rPr>
          <w:bCs/>
          <w:color w:val="000000"/>
        </w:rPr>
        <w:t xml:space="preserve"> separate from the authorization decision.  Furthermore, this document proposes to use PKI credentials at the granularity of an enterprise for authentication transactions across multiple participants and a “Letter of Authorization” document exchange for service providers to learn that a party is authorized to utilize a TN.  Authorization is established in the administrative plane and checked by the originating service provider subject to enterprise authentication.  This information is offered as a possible addition to an existing or new draft Technical Report.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424AF1" w:rsidP="00424AF1">
      <w:r>
        <w:t>xxx</w:t>
      </w:r>
    </w:p>
    <w:p w:rsidR="00424AF1" w:rsidRDefault="00424AF1" w:rsidP="00424AF1"/>
    <w:p w:rsidR="00424AF1" w:rsidRDefault="00424AF1" w:rsidP="00424AF1">
      <w:pPr>
        <w:pStyle w:val="Heading2"/>
      </w:pPr>
      <w:r>
        <w:t>Purpose</w:t>
      </w:r>
    </w:p>
    <w:p w:rsidR="00424AF1" w:rsidRDefault="00424AF1" w:rsidP="00424AF1">
      <w:r>
        <w:t>xxx</w:t>
      </w:r>
    </w:p>
    <w:p w:rsidR="00424AF1" w:rsidRDefault="00424AF1" w:rsidP="00424AF1"/>
    <w:p w:rsidR="00424AF1" w:rsidRDefault="00424AF1" w:rsidP="00424AF1">
      <w:pPr>
        <w:pStyle w:val="Heading2"/>
      </w:pPr>
      <w:r>
        <w:t>Application</w:t>
      </w:r>
    </w:p>
    <w:p w:rsidR="00424AF1" w:rsidRDefault="00424AF1" w:rsidP="00424AF1">
      <w:r>
        <w:t>xxx</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2B7015" w:rsidRDefault="002B7015" w:rsidP="00424AF1">
      <w:r>
        <w:t xml:space="preserve">ATIS-0x0000x, </w:t>
      </w:r>
      <w:r w:rsidRPr="002B7015">
        <w:rPr>
          <w:i/>
        </w:rPr>
        <w:t>Technical Report</w:t>
      </w:r>
      <w:r>
        <w:t>.</w:t>
      </w:r>
    </w:p>
    <w:p w:rsidR="002B7015" w:rsidRDefault="002B7015" w:rsidP="002B7015">
      <w:r>
        <w:t xml:space="preserve">ATIS-0x0000x.201x, </w:t>
      </w:r>
      <w:r>
        <w:rPr>
          <w:i/>
        </w:rPr>
        <w:t>American National Standard</w:t>
      </w:r>
      <w:r>
        <w:t>.</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“ATIS Technical Report on a Framework for Attestation and Origination Identity Framework” (currently in draft form as IPNNI-2019-00003R005):</w:t>
      </w:r>
    </w:p>
    <w:p w:rsidR="00272F7E" w:rsidRDefault="00272F7E" w:rsidP="00272F7E"/>
    <w:p w:rsidR="00272F7E" w:rsidRDefault="00272F7E" w:rsidP="00272F7E">
      <w:r>
        <w:t>Originating service provider (originating SP or O-SP):  The first SP entity that receives calls from a customer and is capable of populating a SHAKEN Identity header for the call when it is sent across an NNI to an intermediate or terminating SP.  Note that this procedure is only applicable when the O-SP receives the call via a UNI (customer interface) and not via an NNI since the administrative procedures rely on there being established customer relationships.</w:t>
      </w:r>
    </w:p>
    <w:p w:rsidR="00272F7E" w:rsidRDefault="00272F7E" w:rsidP="00272F7E">
      <w:r>
        <w:lastRenderedPageBreak/>
        <w:t>Customer:  An entity that has a direct relationship and with the originating SP and sends calls initiated by itself or upstream parties through a “user-to-network interface” 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An entity that has a direct relationship with Customer and an indirect relationship with an originating SP.  A C</w:t>
      </w:r>
      <w:r w:rsidRPr="00863CBF">
        <w:rPr>
          <w:vertAlign w:val="subscript"/>
        </w:rPr>
        <w:t>2</w:t>
      </w:r>
      <w:r>
        <w:t xml:space="preserve"> customer sends calls through Customer, which are indirectly placed on the Customer’s UNI interface to the originating SP.  There may be additional levels of indirection (e.g. a “C</w:t>
      </w:r>
      <w:r w:rsidRPr="00F1292B">
        <w:rPr>
          <w:vertAlign w:val="subscript"/>
        </w:rPr>
        <w:t>3</w:t>
      </w:r>
      <w:r>
        <w:t xml:space="preserve"> customer”) but see notes below regarding call traceability chains.</w:t>
      </w:r>
    </w:p>
    <w:p w:rsidR="00272F7E" w:rsidRDefault="00272F7E" w:rsidP="00272F7E">
      <w:r>
        <w:t>End user:  An entity that initiates calls, and typically known as the “caller.”  Note that the end user may be the “customer,” the “customer’s 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TN Service Provider (TN-SP):  A service provider entity with direct access to numbering resources and assigns them to other entities.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TN assignee delegates TNs to for the </w:t>
      </w:r>
      <w:proofErr w:type="spellStart"/>
      <w:r>
        <w:t>delegee’s</w:t>
      </w:r>
      <w:proofErr w:type="spellEnd"/>
      <w:r>
        <w:t xml:space="preserve">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rsidR="00272F7E" w:rsidRDefault="00272F7E" w:rsidP="00272F7E">
      <w:proofErr w:type="spellStart"/>
      <w:r>
        <w:t>LoA</w:t>
      </w:r>
      <w:proofErr w:type="spellEnd"/>
      <w:r>
        <w:t xml:space="preserve"> or </w:t>
      </w:r>
      <w:proofErr w:type="spellStart"/>
      <w:r>
        <w:t>TNLoA</w:t>
      </w:r>
      <w:proofErr w:type="spellEnd"/>
      <w:r>
        <w:t>:  Telephone Number Letter of Authorization – A document exchanged between SPs to indicate a TN User is authorized to utilize a calling TN.</w:t>
      </w:r>
    </w:p>
    <w:p w:rsidR="00272F7E" w:rsidRDefault="00272F7E" w:rsidP="00272F7E">
      <w:r>
        <w:t>Other terminology used to describe network components and entities applicable to the attestation decision are described in the “ATIS Technical Report on a Framework for Attestation and Origination Identity Framework” (currently in draft form as IPNNI-2019-00003R005).</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bl>
    <w:p w:rsidR="001F2162" w:rsidRDefault="001F2162" w:rsidP="001F2162"/>
    <w:p w:rsidR="001F2162" w:rsidRDefault="00D6298E" w:rsidP="001F2162">
      <w:pPr>
        <w:pStyle w:val="Heading1"/>
      </w:pPr>
      <w:r>
        <w:t>Introduction</w:t>
      </w:r>
    </w:p>
    <w:p w:rsidR="00272F7E" w:rsidRDefault="00272F7E" w:rsidP="00272F7E">
      <w:r>
        <w:t>The SHAKEN (ATIS-1000074-E) Identity header provides a means to authenticate the originating service provider (SP) for a call being established across one or more IP-NNIs and to protect the integrity of the call parameters populated by the originating SP.  The parameters include the calling and called telephone numbers (TNs) and an attestation marking that describes the extent to which the originating SP has (a) determined the identity of a customer it received a call from and (b) determined an association between the calling TN and the customer.  The terminating SP that relies on this information populated in a received (and verified) Identity header can determine the extent to which the originating SP validated the customer identity and calling TN and can use that information to make further decisions as to whether or not to trust the validity of the calling number.  In many legitimate calling scenarios the originating service provider does not directly possess information that might allow it to determine a customer’s association with a calling TN for one or more reasons including the following:</w:t>
      </w:r>
    </w:p>
    <w:p w:rsidR="00272F7E" w:rsidRDefault="00272F7E" w:rsidP="00272F7E">
      <w:pPr>
        <w:pStyle w:val="ListParagraph"/>
        <w:numPr>
          <w:ilvl w:val="0"/>
          <w:numId w:val="25"/>
        </w:numPr>
        <w:spacing w:before="0" w:after="160" w:line="259" w:lineRule="auto"/>
        <w:jc w:val="left"/>
      </w:pPr>
      <w:r>
        <w:t>The customer utilizes multiple originating service providers and marks calls with a common calling TN (e.g. a main business number)</w:t>
      </w:r>
    </w:p>
    <w:p w:rsidR="00272F7E" w:rsidRDefault="00272F7E" w:rsidP="00272F7E">
      <w:pPr>
        <w:pStyle w:val="ListParagraph"/>
        <w:numPr>
          <w:ilvl w:val="0"/>
          <w:numId w:val="25"/>
        </w:numPr>
        <w:spacing w:before="0" w:after="160" w:line="259" w:lineRule="auto"/>
        <w:jc w:val="left"/>
      </w:pPr>
      <w:r>
        <w:t>The customer and end-user are different entities and the calling TN is assigned to the end user (e.g. the customer of a reseller or value-added service provider that is not the SP populating the Identity header), not the customer</w:t>
      </w:r>
      <w:r w:rsidRPr="00A03CDB">
        <w:t xml:space="preserve"> </w:t>
      </w:r>
      <w:r>
        <w:t>directly known by the originating SP</w:t>
      </w:r>
    </w:p>
    <w:p w:rsidR="00272F7E" w:rsidRDefault="00272F7E" w:rsidP="00272F7E">
      <w:pPr>
        <w:pStyle w:val="ListParagraph"/>
        <w:numPr>
          <w:ilvl w:val="0"/>
          <w:numId w:val="25"/>
        </w:numPr>
        <w:spacing w:before="0" w:after="160" w:line="259" w:lineRule="auto"/>
        <w:jc w:val="left"/>
      </w:pPr>
      <w:r>
        <w:t>An enterprise or other organization contracts for calling services provided by another entity and calls are placed using the contracting organization’s calling TNs</w:t>
      </w:r>
    </w:p>
    <w:p w:rsidR="00272F7E" w:rsidRDefault="00272F7E" w:rsidP="00272F7E">
      <w:pPr>
        <w:pStyle w:val="ListParagraph"/>
        <w:numPr>
          <w:ilvl w:val="0"/>
          <w:numId w:val="25"/>
        </w:numPr>
        <w:spacing w:before="0" w:after="160" w:line="259" w:lineRule="auto"/>
        <w:jc w:val="left"/>
      </w:pPr>
      <w:r>
        <w:t>TNs are assigned by a service provider to one entity that resells use of those numbers to an originating SPs customer or an unrelated end-user entity</w:t>
      </w:r>
    </w:p>
    <w:p w:rsidR="00272F7E" w:rsidRDefault="00272F7E" w:rsidP="00272F7E"/>
    <w:p w:rsidR="00272F7E" w:rsidRDefault="00272F7E" w:rsidP="00272F7E">
      <w:r>
        <w:t>This document proposes a method to allow an originating SP to determine that the calling TN can be associated with the customer, and therefore give the originating SP a basis for marking a call from a known and authenticated customer with full attestation.  General description of the proposed solution:</w:t>
      </w:r>
    </w:p>
    <w:p w:rsidR="00272F7E" w:rsidRDefault="00272F7E" w:rsidP="00272F7E">
      <w:r>
        <w:t>The proposed solution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The TN authorization information is determined locally within O-SP administrative processes or exchanged in an administrative channel between TN-SPs and O-SPs (described below as the “</w:t>
      </w:r>
      <w:proofErr w:type="spellStart"/>
      <w:r>
        <w:t>LoA</w:t>
      </w:r>
      <w:proofErr w:type="spellEnd"/>
      <w:r>
        <w:t>” process).  TN authorization to the TN-U may either be through direct assignment by the TN-SP or by delegation from the assignee.</w:t>
      </w:r>
    </w:p>
    <w:p w:rsidR="00272F7E" w:rsidRDefault="00272F7E" w:rsidP="00272F7E">
      <w:pPr>
        <w:pStyle w:val="Heading2"/>
      </w:pPr>
      <w:r>
        <w:t>Identity management process</w:t>
      </w:r>
    </w:p>
    <w:p w:rsidR="00272F7E" w:rsidRDefault="00272F7E" w:rsidP="00272F7E">
      <w:r>
        <w:t xml:space="preserve">As described in the Attestation Framework document (in draft form),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authorization process, the bi-lateral exchange of (enterprise) identity information and TN assignments are sufficient for the O-SP to make subsequent authorization determinations, in particular the TN authorization decision used to provide full attestation marking in the SHAKEN </w:t>
      </w:r>
      <w:proofErr w:type="spellStart"/>
      <w:r>
        <w:t>PASSporT</w:t>
      </w:r>
      <w:proofErr w:type="spellEnd"/>
      <w:r>
        <w:t>.</w:t>
      </w:r>
    </w:p>
    <w:p w:rsidR="00272F7E" w:rsidRDefault="00272F7E" w:rsidP="00272F7E">
      <w:r>
        <w:t>When additional parties are involved in the authorization process, including separate TN-SPs and O-SPs and entities with only an indirect relationship to the O-SP or TN-SP (for example C</w:t>
      </w:r>
      <w:r w:rsidRPr="00863CBF">
        <w:rPr>
          <w:vertAlign w:val="subscript"/>
        </w:rPr>
        <w:t>2</w:t>
      </w:r>
      <w:r>
        <w:t xml:space="preserve"> entities and TN </w:t>
      </w:r>
      <w:proofErr w:type="spellStart"/>
      <w:r>
        <w:t>delegees</w:t>
      </w:r>
      <w:proofErr w:type="spellEnd"/>
      <w:r>
        <w:t>), there is a need for a form of identity that is commonly recognized and verifiable across all parties involved in the process to drive authorization transactions and to authenticate the party claiming to be authorized in the administrative channel and at the UNI.  This document proposes using PKI credentials tied to a proven real-world identity at the enterprise level, possibly similar to web Extended Validation (EV) procedures.  In an EV X.509 certificate the subject typically contains a business name, location, and government registration ID.  In the USA this includes the 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the common EV procedures or a possible enhanced procedure.  Once the organizational or “enterprise” identity is established and the PKI credentials are established, these may be used to sign and verify authorization transactions between various parties whether or not they have direct business relationships (note, however, that the proposal is that for TN authorization purposes these transactions are only triggered by entities with the direct relationship to the SP).  Similarly, service providers involved in the authorization exchange may identify themselves using PKI credentials similar to SHAKEN certificates that are tied to an industry-recognized service provider code (SPC), traceable to a real-world business identity verified by industry and regulatory processes.</w:t>
      </w:r>
    </w:p>
    <w:p w:rsidR="00272F7E" w:rsidRDefault="00272F7E" w:rsidP="00272F7E">
      <w:pPr>
        <w:pStyle w:val="Heading2"/>
      </w:pPr>
      <w:proofErr w:type="spellStart"/>
      <w:r>
        <w:t>LoA</w:t>
      </w:r>
      <w:proofErr w:type="spellEnd"/>
      <w:r>
        <w:t xml:space="preserve"> Process</w:t>
      </w:r>
    </w:p>
    <w:p w:rsidR="00272F7E" w:rsidRDefault="00272F7E" w:rsidP="00272F7E">
      <w:r>
        <w:t>TN-SPs who support this procedure may make “TN Letter of Authorization” (</w:t>
      </w:r>
      <w:proofErr w:type="spellStart"/>
      <w:r>
        <w:t>TNLoA</w:t>
      </w:r>
      <w:proofErr w:type="spellEnd"/>
      <w:r>
        <w:t xml:space="preserve">) documents available to other O-SPs so an O-SP can determine the set of TNs assigned, or delegated, to particular TN users (TN-U).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use by a direct assignee the TN-U element will contain the identity of the TN assignee.  After a delegation transaction between the TN assignee and the TN-SP, the TN-U will contain a tuple of the TN assignee and the TN </w:t>
      </w:r>
      <w:proofErr w:type="spellStart"/>
      <w:r>
        <w:t>delegee</w:t>
      </w:r>
      <w:proofErr w:type="spellEnd"/>
      <w:r>
        <w:t xml:space="preserve">.  The documents would be signed with the TN-SPs credentials (e.g. certificates similar to SHAKEN certificates containing the certified SPC) and contain the URL to the certificate for verification by the O-SP.  The root certificate store used to verify the </w:t>
      </w:r>
      <w:proofErr w:type="spellStart"/>
      <w:r>
        <w:t>TNLoA</w:t>
      </w:r>
      <w:proofErr w:type="spellEnd"/>
      <w:r>
        <w:t xml:space="preserve"> documents could be the SHAKEN store or a similar set of </w:t>
      </w:r>
      <w:r>
        <w:lastRenderedPageBreak/>
        <w:t xml:space="preserve">CAs authorized to provide certification of service provider identity.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proofErr w:type="gramStart"/>
      <w:r>
        <w:t>typ</w:t>
      </w:r>
      <w:proofErr w:type="spellEnd"/>
      <w:proofErr w:type="gramEnd"/>
      <w:r>
        <w:t>”: “JWT”</w:t>
      </w:r>
    </w:p>
    <w:p w:rsidR="00272F7E" w:rsidRDefault="00272F7E" w:rsidP="00272F7E">
      <w:r>
        <w:t>“</w:t>
      </w:r>
      <w:proofErr w:type="spellStart"/>
      <w:proofErr w:type="gramStart"/>
      <w:r>
        <w:t>alg</w:t>
      </w:r>
      <w:proofErr w:type="spellEnd"/>
      <w:proofErr w:type="gram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proofErr w:type="gramStart"/>
      <w:r>
        <w:t>iss</w:t>
      </w:r>
      <w:proofErr w:type="spellEnd"/>
      <w:proofErr w:type="gramEnd"/>
      <w:r>
        <w:t>”: &lt;SPC&gt;</w:t>
      </w:r>
    </w:p>
    <w:p w:rsidR="00272F7E" w:rsidRDefault="00272F7E" w:rsidP="00272F7E">
      <w:r>
        <w:t xml:space="preserve"> “</w:t>
      </w:r>
      <w:proofErr w:type="spellStart"/>
      <w:proofErr w:type="gramStart"/>
      <w:r>
        <w:t>iat</w:t>
      </w:r>
      <w:proofErr w:type="spellEnd"/>
      <w:proofErr w:type="gramEnd"/>
      <w:r>
        <w:t>”: &lt;timestamp&gt;</w:t>
      </w:r>
    </w:p>
    <w:p w:rsidR="00272F7E" w:rsidRDefault="00272F7E" w:rsidP="00272F7E">
      <w:r>
        <w:t>“</w:t>
      </w:r>
      <w:proofErr w:type="spellStart"/>
      <w:proofErr w:type="gramStart"/>
      <w:r>
        <w:t>nbf</w:t>
      </w:r>
      <w:proofErr w:type="spellEnd"/>
      <w:proofErr w:type="gramEnd"/>
      <w:r>
        <w:t>”:&lt;from timestamp&gt;</w:t>
      </w:r>
    </w:p>
    <w:p w:rsidR="00272F7E" w:rsidRDefault="00272F7E" w:rsidP="00272F7E">
      <w:r>
        <w:t>“</w:t>
      </w:r>
      <w:proofErr w:type="spellStart"/>
      <w:proofErr w:type="gramStart"/>
      <w:r>
        <w:t>exp</w:t>
      </w:r>
      <w:proofErr w:type="spellEnd"/>
      <w:proofErr w:type="gramEnd"/>
      <w:r>
        <w:t>”:&lt;to timestamp&gt;</w:t>
      </w:r>
    </w:p>
    <w:p w:rsidR="00272F7E" w:rsidRDefault="00272F7E" w:rsidP="00272F7E">
      <w:r>
        <w:t>“</w:t>
      </w:r>
      <w:proofErr w:type="spellStart"/>
      <w:proofErr w:type="gramStart"/>
      <w:r>
        <w:t>tnloa</w:t>
      </w:r>
      <w:proofErr w:type="spellEnd"/>
      <w:proofErr w:type="gramEnd"/>
      <w:r>
        <w:t>”:{</w:t>
      </w:r>
    </w:p>
    <w:p w:rsidR="00272F7E" w:rsidRDefault="00272F7E" w:rsidP="00272F7E">
      <w:pPr>
        <w:ind w:firstLine="720"/>
      </w:pPr>
      <w:r>
        <w:t>“</w:t>
      </w:r>
      <w:proofErr w:type="spellStart"/>
      <w:proofErr w:type="gramStart"/>
      <w:r>
        <w:t>docid</w:t>
      </w:r>
      <w:proofErr w:type="spellEnd"/>
      <w:proofErr w:type="gramEnd"/>
      <w:r>
        <w:t>”: &lt;document ID&gt;</w:t>
      </w:r>
    </w:p>
    <w:p w:rsidR="00272F7E" w:rsidRDefault="00272F7E" w:rsidP="00272F7E">
      <w:pPr>
        <w:ind w:firstLine="720"/>
      </w:pPr>
      <w:r>
        <w:t>“</w:t>
      </w:r>
      <w:proofErr w:type="gramStart"/>
      <w:r>
        <w:t>scope</w:t>
      </w:r>
      <w:proofErr w:type="gramEnd"/>
      <w:r>
        <w:t>”: &lt;complete or partial&gt;</w:t>
      </w:r>
    </w:p>
    <w:p w:rsidR="00272F7E" w:rsidRDefault="00272F7E" w:rsidP="00272F7E">
      <w:pPr>
        <w:ind w:firstLine="720"/>
      </w:pPr>
      <w:r>
        <w:t>“</w:t>
      </w:r>
      <w:proofErr w:type="spellStart"/>
      <w:proofErr w:type="gramStart"/>
      <w:r>
        <w:t>tnu</w:t>
      </w:r>
      <w:proofErr w:type="spellEnd"/>
      <w:proofErr w:type="gramEnd"/>
      <w:r>
        <w:t>”: {“</w:t>
      </w:r>
      <w:proofErr w:type="spellStart"/>
      <w:r>
        <w:t>tna</w:t>
      </w:r>
      <w:proofErr w:type="spellEnd"/>
      <w:r>
        <w:t>”:&lt;Subject-TN assignee&gt;(,”</w:t>
      </w:r>
      <w:proofErr w:type="spellStart"/>
      <w:r>
        <w:t>tnd</w:t>
      </w:r>
      <w:proofErr w:type="spellEnd"/>
      <w:r>
        <w:t xml:space="preserve">”:&lt;Subject-TN </w:t>
      </w:r>
      <w:proofErr w:type="spellStart"/>
      <w:r>
        <w:t>delegee</w:t>
      </w:r>
      <w:proofErr w:type="spellEnd"/>
      <w:r>
        <w:t>&gt;)}</w:t>
      </w:r>
    </w:p>
    <w:p w:rsidR="00272F7E" w:rsidRDefault="00272F7E" w:rsidP="00272F7E">
      <w:pPr>
        <w:ind w:firstLine="720"/>
      </w:pPr>
      <w:r>
        <w:t>“</w:t>
      </w:r>
      <w:proofErr w:type="spellStart"/>
      <w:proofErr w:type="gramStart"/>
      <w:r>
        <w:t>tnlist</w:t>
      </w:r>
      <w:proofErr w:type="spellEnd"/>
      <w:proofErr w:type="gram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proofErr w:type="gramStart"/>
      <w:r>
        <w:t>iss</w:t>
      </w:r>
      <w:proofErr w:type="spellEnd"/>
      <w:proofErr w:type="gramEnd"/>
      <w:r>
        <w:t xml:space="preserve"> – </w:t>
      </w:r>
      <w:proofErr w:type="spellStart"/>
      <w:r>
        <w:t>Issurer</w:t>
      </w:r>
      <w:proofErr w:type="spellEnd"/>
      <w:r>
        <w:t xml:space="preserve"> (TN-SP)</w:t>
      </w:r>
    </w:p>
    <w:p w:rsidR="00272F7E" w:rsidRDefault="00272F7E" w:rsidP="00272F7E">
      <w:proofErr w:type="spellStart"/>
      <w:proofErr w:type="gramStart"/>
      <w:r>
        <w:t>iat</w:t>
      </w:r>
      <w:proofErr w:type="spellEnd"/>
      <w:proofErr w:type="gramEnd"/>
      <w:r>
        <w:t xml:space="preserve"> – issue timestamp</w:t>
      </w:r>
    </w:p>
    <w:p w:rsidR="00272F7E" w:rsidRDefault="00272F7E" w:rsidP="00272F7E">
      <w:proofErr w:type="spellStart"/>
      <w:proofErr w:type="gramStart"/>
      <w:r>
        <w:t>nbf</w:t>
      </w:r>
      <w:proofErr w:type="spellEnd"/>
      <w:proofErr w:type="gramEnd"/>
      <w:r>
        <w:t xml:space="preserve"> – not-valid-before timestamp</w:t>
      </w:r>
    </w:p>
    <w:p w:rsidR="00272F7E" w:rsidRDefault="00272F7E" w:rsidP="00272F7E">
      <w:proofErr w:type="spellStart"/>
      <w:proofErr w:type="gramStart"/>
      <w:r>
        <w:t>exp</w:t>
      </w:r>
      <w:proofErr w:type="spellEnd"/>
      <w:proofErr w:type="gramEnd"/>
      <w:r>
        <w:t xml:space="preserve"> – expiration timestamp</w:t>
      </w:r>
    </w:p>
    <w:p w:rsidR="00272F7E" w:rsidRDefault="00272F7E" w:rsidP="00272F7E">
      <w:proofErr w:type="spellStart"/>
      <w:proofErr w:type="gramStart"/>
      <w:r>
        <w:t>tnloa</w:t>
      </w:r>
      <w:proofErr w:type="spellEnd"/>
      <w:proofErr w:type="gramEnd"/>
      <w:r>
        <w:t xml:space="preserve"> – TN Letter of Authorization structure</w:t>
      </w:r>
    </w:p>
    <w:p w:rsidR="00272F7E" w:rsidRDefault="00272F7E" w:rsidP="00272F7E">
      <w:proofErr w:type="spellStart"/>
      <w:proofErr w:type="gramStart"/>
      <w:r>
        <w:t>docid</w:t>
      </w:r>
      <w:proofErr w:type="spellEnd"/>
      <w:proofErr w:type="gramEnd"/>
      <w:r>
        <w:t xml:space="preserve"> – </w:t>
      </w:r>
      <w:proofErr w:type="spellStart"/>
      <w:r>
        <w:t>TNLoA</w:t>
      </w:r>
      <w:proofErr w:type="spellEnd"/>
      <w:r>
        <w:t xml:space="preserve"> document identifier in the form of a UUID</w:t>
      </w:r>
    </w:p>
    <w:p w:rsidR="00272F7E" w:rsidRDefault="00272F7E" w:rsidP="00272F7E">
      <w:proofErr w:type="gramStart"/>
      <w:r>
        <w:t>scope</w:t>
      </w:r>
      <w:proofErr w:type="gramEnd"/>
      <w:r>
        <w:t xml:space="preserve"> – document contains a complete set of TN authorizations for a TN-U or a partial set (a complete scope replaces all previous authorizations)</w:t>
      </w:r>
    </w:p>
    <w:p w:rsidR="00272F7E" w:rsidRDefault="00272F7E" w:rsidP="00272F7E">
      <w:proofErr w:type="spellStart"/>
      <w:proofErr w:type="gramStart"/>
      <w:r>
        <w:t>tnu</w:t>
      </w:r>
      <w:proofErr w:type="spellEnd"/>
      <w:proofErr w:type="gramEnd"/>
      <w:r>
        <w:t xml:space="preserve"> – TN User (TN assignee alone or a tuple of the TN assignee and TN </w:t>
      </w:r>
      <w:proofErr w:type="spellStart"/>
      <w:r>
        <w:t>delegee</w:t>
      </w:r>
      <w:proofErr w:type="spellEnd"/>
      <w:r>
        <w:t>)</w:t>
      </w:r>
    </w:p>
    <w:p w:rsidR="00272F7E" w:rsidRDefault="00272F7E" w:rsidP="00272F7E">
      <w:proofErr w:type="spellStart"/>
      <w:proofErr w:type="gramStart"/>
      <w:r>
        <w:t>tna</w:t>
      </w:r>
      <w:proofErr w:type="spellEnd"/>
      <w:proofErr w:type="gramEnd"/>
      <w:r>
        <w:t xml:space="preserve"> – TN assignee (enterprise certificate subject)</w:t>
      </w:r>
    </w:p>
    <w:p w:rsidR="00272F7E" w:rsidRDefault="00272F7E" w:rsidP="00272F7E">
      <w:proofErr w:type="spellStart"/>
      <w:proofErr w:type="gramStart"/>
      <w:r>
        <w:t>tnd</w:t>
      </w:r>
      <w:proofErr w:type="spellEnd"/>
      <w:proofErr w:type="gramEnd"/>
      <w:r>
        <w:t xml:space="preserve"> – TN </w:t>
      </w:r>
      <w:proofErr w:type="spellStart"/>
      <w:r>
        <w:t>delegee</w:t>
      </w:r>
      <w:proofErr w:type="spellEnd"/>
      <w:r>
        <w:t xml:space="preserve"> (enterprise certificate subject)</w:t>
      </w:r>
    </w:p>
    <w:p w:rsidR="00272F7E" w:rsidRDefault="00272F7E" w:rsidP="00272F7E">
      <w:proofErr w:type="spellStart"/>
      <w:proofErr w:type="gramStart"/>
      <w:r>
        <w:t>tnlist</w:t>
      </w:r>
      <w:proofErr w:type="spellEnd"/>
      <w:proofErr w:type="gramEnd"/>
      <w:r>
        <w:t xml:space="preserve"> – list of authorized calling TNs for the TN-U</w:t>
      </w:r>
    </w:p>
    <w:p w:rsidR="00272F7E" w:rsidRDefault="00272F7E" w:rsidP="00272F7E"/>
    <w:p w:rsidR="00272F7E" w:rsidRDefault="00272F7E" w:rsidP="00272F7E">
      <w:r>
        <w:t xml:space="preserve">A proposed method for the exchange of the documents is a “pull” mechanism initiated by the O-SP, combined with a notification (e.g. push notification) mechanism from the TN-SP to trigger updates for specific TN-U authorizations.  A </w:t>
      </w:r>
      <w:proofErr w:type="spellStart"/>
      <w:r>
        <w:t>TNLoA</w:t>
      </w:r>
      <w:proofErr w:type="spellEnd"/>
      <w:r>
        <w:t xml:space="preserve"> document may be an exhaustive list of TNs assigned to the TN-U or one of a set of documents containing different TN assignments.  Individual TNs within </w:t>
      </w:r>
      <w:proofErr w:type="gramStart"/>
      <w:r>
        <w:t>an</w:t>
      </w:r>
      <w:proofErr w:type="gramEnd"/>
      <w:r>
        <w:t xml:space="preserve"> </w:t>
      </w:r>
      <w:proofErr w:type="spellStart"/>
      <w:r>
        <w:t>LoA</w:t>
      </w:r>
      <w:proofErr w:type="spellEnd"/>
      <w:r>
        <w:t xml:space="preserve"> document may become invalidated before the end of a validity period, due to porting or disconnect activity.  Because of this, there should be a notification mechanism to </w:t>
      </w:r>
      <w:r>
        <w:lastRenderedPageBreak/>
        <w:t xml:space="preserve">allow the TN-SP to trigger the O-SPs relying on particular sets of </w:t>
      </w:r>
      <w:proofErr w:type="spellStart"/>
      <w:r>
        <w:t>TNLoA</w:t>
      </w:r>
      <w:proofErr w:type="spellEnd"/>
      <w:r>
        <w:t xml:space="preserve"> documents to pull the updated sets of documents.    An O-SP may also audit TN authorizations against porting activity to identify those no longer valid due to porting (presumably the authorization could be moved to the new serving TN-SP).</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access to specific O-SPs that are authorized by the TN assignee.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customer and TN assignee)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629007356"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TN assignee,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TN-U/TN assignee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629007357"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w:t>
      </w:r>
      <w:proofErr w:type="gramStart"/>
      <w:r>
        <w:t>to  TN</w:t>
      </w:r>
      <w:proofErr w:type="gramEnd"/>
      <w:r>
        <w:t>-SP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an “enterprise Identity header” signed with C</w:t>
      </w:r>
      <w:r w:rsidRPr="00863CBF">
        <w:rPr>
          <w:vertAlign w:val="subscript"/>
        </w:rPr>
        <w:t>2</w:t>
      </w:r>
      <w:r>
        <w:t>’s enterprise credentials.</w:t>
      </w:r>
    </w:p>
    <w:p w:rsidR="00272F7E" w:rsidRDefault="00272F7E" w:rsidP="00272F7E">
      <w:r>
        <w:t>Customer matches INVITE to C</w:t>
      </w:r>
      <w:r w:rsidRPr="00863CBF">
        <w:rPr>
          <w:vertAlign w:val="subscript"/>
        </w:rPr>
        <w:t>2</w:t>
      </w:r>
      <w:r>
        <w:t>’s authenticated user interface and forwards the INVITE via its UNI to O-SP.  The enterprise Identity header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enterprise Identity header against C</w:t>
      </w:r>
      <w:r w:rsidRPr="00863CBF">
        <w:rPr>
          <w:vertAlign w:val="subscript"/>
        </w:rPr>
        <w:t>2</w:t>
      </w:r>
      <w:r>
        <w:t>’s enterprise 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629007358" r:id="rId17"/>
        </w:object>
      </w:r>
    </w:p>
    <w:p w:rsidR="00272F7E" w:rsidRDefault="00272F7E" w:rsidP="00272F7E">
      <w:pPr>
        <w:pStyle w:val="Heading2"/>
      </w:pPr>
      <w:r>
        <w:lastRenderedPageBreak/>
        <w:t>Delegation Use Case – C</w:t>
      </w:r>
      <w:r w:rsidRPr="00863CBF">
        <w:rPr>
          <w:vertAlign w:val="subscript"/>
        </w:rPr>
        <w:t>2</w:t>
      </w:r>
      <w:r>
        <w:t xml:space="preserve"> is TN </w:t>
      </w:r>
      <w:proofErr w:type="spellStart"/>
      <w:r>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TN </w:t>
      </w:r>
      <w:proofErr w:type="spellStart"/>
      <w:r>
        <w:t>delegee</w:t>
      </w:r>
      <w:proofErr w:type="spellEnd"/>
      <w:r>
        <w:t>.  An example of this use case would be a call center contractor making calls on behalf of an enterprise (the TN assignee) with the enterprise’s calling TNs, and utilizing a service reseller to originate traffic through various O-SPs.  The 3</w:t>
      </w:r>
      <w:r w:rsidRPr="004F7637">
        <w:rPr>
          <w:vertAlign w:val="superscript"/>
        </w:rPr>
        <w:t>rd</w:t>
      </w:r>
      <w:r>
        <w:t>-party TN assignee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TN assignee must request that the TN-SP make </w:t>
      </w:r>
      <w:proofErr w:type="spellStart"/>
      <w:r>
        <w:t>TNLoA</w:t>
      </w:r>
      <w:proofErr w:type="spellEnd"/>
      <w:r>
        <w:t xml:space="preserve"> documents available tying some of its assigned numbers to the TN </w:t>
      </w:r>
      <w:proofErr w:type="spellStart"/>
      <w:r>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TN assignee proves its real-world identity to a 3</w:t>
      </w:r>
      <w:r w:rsidRPr="004C2377">
        <w:rPr>
          <w:vertAlign w:val="superscript"/>
        </w:rPr>
        <w:t>rd</w:t>
      </w:r>
      <w:r>
        <w:t>-party certification authority via an EV or similar identity proofing procedure (TN assignee identity is needed as part of traceability of the assignment and delegation).  TN assignee establishes C</w:t>
      </w:r>
      <w:r w:rsidRPr="00863CBF">
        <w:rPr>
          <w:vertAlign w:val="subscript"/>
        </w:rPr>
        <w:t>2</w:t>
      </w:r>
      <w:r>
        <w:t xml:space="preserve"> identity and C</w:t>
      </w:r>
      <w:r w:rsidRPr="00863CBF">
        <w:rPr>
          <w:vertAlign w:val="subscript"/>
        </w:rPr>
        <w:t>2</w:t>
      </w:r>
      <w:r>
        <w:t xml:space="preserve"> proves its identity by executing a transaction with the EV credentials.   C</w:t>
      </w:r>
      <w:r w:rsidRPr="00863CBF">
        <w:rPr>
          <w:vertAlign w:val="subscript"/>
        </w:rPr>
        <w:t>2</w:t>
      </w:r>
      <w:r>
        <w:t xml:space="preserve"> proves its identity using EV credentials to TN-SP (via its relationship with TN assignee),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TN </w:t>
      </w:r>
      <w:proofErr w:type="spellStart"/>
      <w:r>
        <w:t>delegee</w:t>
      </w:r>
      <w:proofErr w:type="spellEnd"/>
      <w:r>
        <w:t>).  TN-SP learns Customer O-SPs via TN assignee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TN </w:t>
      </w:r>
      <w:proofErr w:type="spellStart"/>
      <w:r>
        <w:t>delegee</w:t>
      </w:r>
      <w:proofErr w:type="spellEnd"/>
      <w:r>
        <w:t xml:space="preserve"> (TN-U identity contains both the TN assignee subject name and the C</w:t>
      </w:r>
      <w:r w:rsidRPr="00863CBF">
        <w:rPr>
          <w:vertAlign w:val="subscript"/>
        </w:rPr>
        <w:t>2</w:t>
      </w:r>
      <w:r>
        <w:t xml:space="preserve">/TN </w:t>
      </w:r>
      <w:proofErr w:type="spellStart"/>
      <w:r>
        <w:t>delegee</w:t>
      </w:r>
      <w:proofErr w:type="spellEnd"/>
      <w:r>
        <w:t xml:space="preserve"> subject name).  O-SP learns TN assignee’s TN-SPs via TN assignee and C</w:t>
      </w:r>
      <w:r w:rsidRPr="00863CBF">
        <w:rPr>
          <w:vertAlign w:val="subscript"/>
        </w:rPr>
        <w:t>2</w:t>
      </w:r>
      <w:r>
        <w:t xml:space="preserve">/TN </w:t>
      </w:r>
      <w:proofErr w:type="spellStart"/>
      <w:r>
        <w:t>delegee</w:t>
      </w:r>
      <w:proofErr w:type="spellEnd"/>
      <w:r>
        <w:t xml:space="preserve">.  O-SP pulls </w:t>
      </w:r>
      <w:proofErr w:type="spellStart"/>
      <w:r>
        <w:t>TNLoA</w:t>
      </w:r>
      <w:proofErr w:type="spellEnd"/>
      <w:r>
        <w:t xml:space="preserve"> documents tied to TN assignee/TN </w:t>
      </w:r>
      <w:proofErr w:type="spellStart"/>
      <w:r>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an Enterprise Identity header signed with C</w:t>
      </w:r>
      <w:r w:rsidRPr="00863CBF">
        <w:rPr>
          <w:vertAlign w:val="subscript"/>
        </w:rPr>
        <w:t>2</w:t>
      </w:r>
      <w:r>
        <w:t>’s enterprise credentials.</w:t>
      </w:r>
    </w:p>
    <w:p w:rsidR="00272F7E" w:rsidRDefault="00272F7E" w:rsidP="00272F7E">
      <w:r>
        <w:t>Customer matches INVITE to C</w:t>
      </w:r>
      <w:r w:rsidRPr="00863CBF">
        <w:rPr>
          <w:vertAlign w:val="subscript"/>
        </w:rPr>
        <w:t>2</w:t>
      </w:r>
      <w:r>
        <w:t>’s authenticated user interface and forwards the INVITE via its UNI to O-SP.  The Enterprise Identity header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Enterprise Identity header against C</w:t>
      </w:r>
      <w:r w:rsidRPr="00863CBF">
        <w:rPr>
          <w:vertAlign w:val="subscript"/>
        </w:rPr>
        <w:t>2</w:t>
      </w:r>
      <w:r>
        <w:t>’s enterprise 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TN </w:t>
      </w:r>
      <w:proofErr w:type="spellStart"/>
      <w:r>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TN </w:t>
      </w:r>
      <w:proofErr w:type="spellStart"/>
      <w:r>
        <w:t>delegee</w:t>
      </w:r>
      <w:proofErr w:type="spellEnd"/>
      <w:r>
        <w:t>) and TN in the Customer record O-SP may populate an A attestation level, otherwise it may populate a B attestation level.</w:t>
      </w:r>
    </w:p>
    <w:p w:rsidR="00272F7E" w:rsidRDefault="00272F7E" w:rsidP="00272F7E">
      <w:r>
        <w:t>Upon delivering the call to an egress IP-NNI, O-SP populates an Identity header 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629007359" r:id="rId19"/>
        </w:object>
      </w:r>
    </w:p>
    <w:p w:rsidR="00272F7E" w:rsidRDefault="00272F7E" w:rsidP="00272F7E"/>
    <w:p w:rsidR="00272F7E" w:rsidRDefault="00272F7E" w:rsidP="00272F7E">
      <w:pPr>
        <w:pStyle w:val="Heading2"/>
      </w:pPr>
      <w:r>
        <w:t>Additional use cases</w:t>
      </w:r>
    </w:p>
    <w:p w:rsidR="00272F7E" w:rsidRPr="001F5E46"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1F2162" w:rsidP="001F2162">
      <w:pPr>
        <w:pStyle w:val="Heading1"/>
        <w:numPr>
          <w:ilvl w:val="0"/>
          <w:numId w:val="0"/>
        </w:numPr>
      </w:pPr>
      <w:r>
        <w:t>A</w:t>
      </w:r>
      <w:r>
        <w:tab/>
        <w:t>Annex Title</w:t>
      </w:r>
    </w:p>
    <w:p w:rsidR="001F2162" w:rsidRDefault="001F2162" w:rsidP="001F2162">
      <w:r>
        <w:t>Xxx</w:t>
      </w:r>
    </w:p>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8B" w:rsidRDefault="007C558B">
      <w:r>
        <w:separator/>
      </w:r>
    </w:p>
  </w:endnote>
  <w:endnote w:type="continuationSeparator" w:id="0">
    <w:p w:rsidR="007C558B" w:rsidRDefault="007C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C15101">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C1510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8B" w:rsidRDefault="007C558B">
      <w:r>
        <w:separator/>
      </w:r>
    </w:p>
  </w:footnote>
  <w:footnote w:type="continuationSeparator" w:id="0">
    <w:p w:rsidR="007C558B" w:rsidRDefault="007C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p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3D3" w:rsidRPr="00BC47C9" w:rsidRDefault="007E23D3">
    <w:pPr>
      <w:pBdr>
        <w:top w:val="single" w:sz="4" w:space="1" w:color="auto"/>
        <w:bottom w:val="single" w:sz="4" w:space="1" w:color="auto"/>
      </w:pBdr>
      <w:rPr>
        <w:rFonts w:cs="Arial"/>
        <w:b/>
        <w:bCs/>
      </w:rPr>
    </w:pPr>
    <w:r w:rsidRPr="00BC47C9">
      <w:rPr>
        <w:rFonts w:cs="Arial"/>
        <w:b/>
        <w:bCs/>
      </w:rPr>
      <w:t xml:space="preserve">ATIS </w:t>
    </w:r>
    <w:r w:rsidR="00272F7E">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7E23D3" w:rsidRPr="00BC47C9" w:rsidRDefault="007E23D3">
    <w:pPr>
      <w:pStyle w:val="BANNER1"/>
      <w:spacing w:before="120"/>
      <w:rPr>
        <w:rFonts w:ascii="Arial" w:hAnsi="Arial" w:cs="Arial"/>
        <w:sz w:val="24"/>
      </w:rPr>
    </w:pPr>
    <w:r w:rsidRPr="00BC47C9">
      <w:rPr>
        <w:rFonts w:ascii="Arial" w:hAnsi="Arial" w:cs="Arial"/>
        <w:sz w:val="24"/>
      </w:rPr>
      <w:t xml:space="preserve">ATIS </w:t>
    </w:r>
    <w:r w:rsidR="00272F7E">
      <w:rPr>
        <w:rFonts w:ascii="Arial" w:hAnsi="Arial" w:cs="Arial"/>
        <w:sz w:val="24"/>
      </w:rPr>
      <w:t>Technical Report</w:t>
    </w:r>
    <w:r w:rsidRPr="00BC47C9">
      <w:rPr>
        <w:rFonts w:ascii="Arial" w:hAnsi="Arial" w:cs="Arial"/>
        <w:sz w:val="24"/>
      </w:rPr>
      <w:t xml:space="preserve"> on –</w:t>
    </w:r>
  </w:p>
  <w:p w:rsidR="007E23D3" w:rsidRPr="00BC47C9" w:rsidRDefault="007E23D3">
    <w:pPr>
      <w:pStyle w:val="BANNER1"/>
      <w:spacing w:before="120"/>
      <w:rPr>
        <w:rFonts w:ascii="Arial" w:hAnsi="Arial" w:cs="Arial"/>
        <w:sz w:val="24"/>
      </w:rPr>
    </w:pPr>
  </w:p>
  <w:p w:rsidR="007E23D3" w:rsidRPr="00BC47C9" w:rsidRDefault="00272F7E">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7"/>
  </w:num>
  <w:num w:numId="4">
    <w:abstractNumId w:val="8"/>
  </w:num>
  <w:num w:numId="5">
    <w:abstractNumId w:val="6"/>
  </w:num>
  <w:num w:numId="6">
    <w:abstractNumId w:val="5"/>
  </w:num>
  <w:num w:numId="7">
    <w:abstractNumId w:val="4"/>
  </w:num>
  <w:num w:numId="8">
    <w:abstractNumId w:val="3"/>
  </w:num>
  <w:num w:numId="9">
    <w:abstractNumId w:val="23"/>
  </w:num>
  <w:num w:numId="10">
    <w:abstractNumId w:val="2"/>
  </w:num>
  <w:num w:numId="11">
    <w:abstractNumId w:val="1"/>
  </w:num>
  <w:num w:numId="12">
    <w:abstractNumId w:val="0"/>
  </w:num>
  <w:num w:numId="13">
    <w:abstractNumId w:val="12"/>
  </w:num>
  <w:num w:numId="14">
    <w:abstractNumId w:val="19"/>
  </w:num>
  <w:num w:numId="15">
    <w:abstractNumId w:val="22"/>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1"/>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D3768"/>
    <w:rsid w:val="0018254B"/>
    <w:rsid w:val="001A5B24"/>
    <w:rsid w:val="001C52DB"/>
    <w:rsid w:val="001E0B44"/>
    <w:rsid w:val="001F2162"/>
    <w:rsid w:val="002142D1"/>
    <w:rsid w:val="0021710E"/>
    <w:rsid w:val="00272F7E"/>
    <w:rsid w:val="002A7CA2"/>
    <w:rsid w:val="002B7015"/>
    <w:rsid w:val="002C4900"/>
    <w:rsid w:val="00363B8E"/>
    <w:rsid w:val="003A6394"/>
    <w:rsid w:val="00424AF1"/>
    <w:rsid w:val="004677A8"/>
    <w:rsid w:val="004B443F"/>
    <w:rsid w:val="004F5EDE"/>
    <w:rsid w:val="00572688"/>
    <w:rsid w:val="00590C1B"/>
    <w:rsid w:val="005D0532"/>
    <w:rsid w:val="005E0DD8"/>
    <w:rsid w:val="006247A7"/>
    <w:rsid w:val="00686C71"/>
    <w:rsid w:val="006F12CE"/>
    <w:rsid w:val="006F5ADD"/>
    <w:rsid w:val="007C558B"/>
    <w:rsid w:val="007D5EEC"/>
    <w:rsid w:val="007D7BDB"/>
    <w:rsid w:val="007E23D3"/>
    <w:rsid w:val="00804F87"/>
    <w:rsid w:val="00817727"/>
    <w:rsid w:val="00854DCB"/>
    <w:rsid w:val="008B2FE0"/>
    <w:rsid w:val="00930CEE"/>
    <w:rsid w:val="00984768"/>
    <w:rsid w:val="00987D79"/>
    <w:rsid w:val="009A6EC3"/>
    <w:rsid w:val="009B1379"/>
    <w:rsid w:val="009D785E"/>
    <w:rsid w:val="00B86CCE"/>
    <w:rsid w:val="00BC47C9"/>
    <w:rsid w:val="00BE265D"/>
    <w:rsid w:val="00C15101"/>
    <w:rsid w:val="00C4025E"/>
    <w:rsid w:val="00C44F39"/>
    <w:rsid w:val="00CB3FFF"/>
    <w:rsid w:val="00D06987"/>
    <w:rsid w:val="00D50927"/>
    <w:rsid w:val="00D55782"/>
    <w:rsid w:val="00D6298E"/>
    <w:rsid w:val="00D82162"/>
    <w:rsid w:val="00D8772E"/>
    <w:rsid w:val="00DF79ED"/>
    <w:rsid w:val="00EB273B"/>
    <w:rsid w:val="00F17692"/>
    <w:rsid w:val="00FA3521"/>
    <w:rsid w:val="00FC1F73"/>
    <w:rsid w:val="00FC4B0D"/>
    <w:rsid w:val="00FC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29647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3</cp:revision>
  <dcterms:created xsi:type="dcterms:W3CDTF">2019-09-03T13:54:00Z</dcterms:created>
  <dcterms:modified xsi:type="dcterms:W3CDTF">2019-09-03T14:16:00Z</dcterms:modified>
</cp:coreProperties>
</file>