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rsidR="00590C1B" w:rsidRDefault="00590C1B" w:rsidP="007C747D">
      <w:pPr>
        <w:ind w:right="-288"/>
        <w:jc w:val="center"/>
        <w:outlineLvl w:val="0"/>
        <w:rPr>
          <w:rFonts w:cs="Arial"/>
          <w:b/>
          <w:bCs/>
          <w:iCs/>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r>
        <w:rPr>
          <w:b/>
        </w:rPr>
        <w:t>Alliance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C1DE8" w:rsidDel="00DB1041">
        <w:t xml:space="preserve"> </w:t>
      </w:r>
      <w:r>
        <w:t xml:space="preserve">.  </w:t>
      </w:r>
    </w:p>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rsidR="007E23D3" w:rsidRPr="007E23D3" w:rsidRDefault="00EB4863" w:rsidP="00572688">
            <w:pPr>
              <w:rPr>
                <w:rFonts w:cs="Arial"/>
                <w:sz w:val="18"/>
                <w:szCs w:val="18"/>
              </w:rPr>
            </w:pPr>
            <w:r>
              <w:rPr>
                <w:rFonts w:cs="Arial"/>
                <w:sz w:val="18"/>
                <w:szCs w:val="18"/>
              </w:rPr>
              <w:t>Initial</w:t>
            </w:r>
          </w:p>
        </w:tc>
        <w:tc>
          <w:tcPr>
            <w:tcW w:w="4000" w:type="dxa"/>
          </w:tcPr>
          <w:p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rsidR="007E23D3" w:rsidRPr="007E23D3" w:rsidRDefault="0030439F" w:rsidP="00572688">
            <w:pPr>
              <w:jc w:val="left"/>
              <w:rPr>
                <w:rFonts w:cs="Arial"/>
                <w:sz w:val="18"/>
                <w:szCs w:val="18"/>
              </w:rPr>
            </w:pPr>
            <w:r>
              <w:rPr>
                <w:rFonts w:cs="Arial"/>
                <w:sz w:val="18"/>
                <w:szCs w:val="18"/>
              </w:rPr>
              <w:t>Gary Richenaker</w:t>
            </w:r>
          </w:p>
        </w:tc>
      </w:tr>
      <w:tr w:rsidR="000A6B98" w:rsidRPr="007E23D3">
        <w:tc>
          <w:tcPr>
            <w:tcW w:w="2574" w:type="dxa"/>
          </w:tcPr>
          <w:p w:rsidR="000A6B98" w:rsidRDefault="000A6B98" w:rsidP="00572688">
            <w:pPr>
              <w:rPr>
                <w:rFonts w:cs="Arial"/>
                <w:sz w:val="18"/>
                <w:szCs w:val="18"/>
              </w:rPr>
            </w:pPr>
            <w:bookmarkStart w:id="1" w:name="_GoBack"/>
            <w:bookmarkEnd w:id="1"/>
          </w:p>
        </w:tc>
        <w:tc>
          <w:tcPr>
            <w:tcW w:w="1634" w:type="dxa"/>
          </w:tcPr>
          <w:p w:rsidR="000A6B98" w:rsidRDefault="000A6B98" w:rsidP="00572688">
            <w:pPr>
              <w:rPr>
                <w:rFonts w:cs="Arial"/>
                <w:sz w:val="18"/>
                <w:szCs w:val="18"/>
              </w:rPr>
            </w:pPr>
          </w:p>
        </w:tc>
        <w:tc>
          <w:tcPr>
            <w:tcW w:w="4000" w:type="dxa"/>
          </w:tcPr>
          <w:p w:rsidR="000A6B98" w:rsidRDefault="000A6B98" w:rsidP="00572688">
            <w:pPr>
              <w:pStyle w:val="CommentSubject"/>
              <w:jc w:val="left"/>
              <w:rPr>
                <w:rFonts w:cs="Arial"/>
                <w:b w:val="0"/>
                <w:sz w:val="18"/>
                <w:szCs w:val="18"/>
              </w:rPr>
            </w:pPr>
          </w:p>
        </w:tc>
        <w:tc>
          <w:tcPr>
            <w:tcW w:w="2088" w:type="dxa"/>
          </w:tcPr>
          <w:p w:rsidR="000A6B98" w:rsidRDefault="000A6B98"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35227C" w:rsidRDefault="0035227C"/>
    <w:p w:rsidR="00590C1B" w:rsidRDefault="00590C1B"/>
    <w:p w:rsidR="00590C1B" w:rsidRDefault="00590C1B"/>
    <w:p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4B443F" w:rsidRDefault="007E6073" w:rsidP="00424AF1">
      <w:pPr>
        <w:pStyle w:val="Heading1"/>
      </w:pPr>
      <w:r>
        <w:rPr>
          <w:rFonts w:cs="Arial"/>
          <w:sz w:val="28"/>
        </w:rPr>
        <w:lastRenderedPageBreak/>
        <w:t xml:space="preserve"> </w:t>
      </w:r>
      <w:r w:rsidR="00F64795">
        <w:t xml:space="preserve">Scope </w:t>
      </w:r>
    </w:p>
    <w:p w:rsidR="00424AF1" w:rsidRDefault="00F64795" w:rsidP="009B1325">
      <w:pPr>
        <w:autoSpaceDE w:val="0"/>
        <w:autoSpaceDN w:val="0"/>
        <w:adjustRightInd w:val="0"/>
        <w:spacing w:before="0" w:after="0"/>
        <w:jc w:val="left"/>
      </w:pPr>
      <w:r>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Pr>
          <w:rFonts w:cs="Arial"/>
        </w:rPr>
        <w:t xml:space="preserve">.  </w:t>
      </w:r>
    </w:p>
    <w:p w:rsidR="009A1A78" w:rsidRDefault="009A1A78" w:rsidP="009B1325">
      <w:pPr>
        <w:autoSpaceDE w:val="0"/>
        <w:autoSpaceDN w:val="0"/>
        <w:adjustRightInd w:val="0"/>
        <w:spacing w:before="0" w:after="0"/>
        <w:jc w:val="left"/>
      </w:pPr>
    </w:p>
    <w:p w:rsidR="009A1A78" w:rsidRDefault="00C92828" w:rsidP="009B1325">
      <w:p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 xml:space="preserve">Telephone Number.  This </w:t>
      </w:r>
      <w:r w:rsidR="00802F70">
        <w:t>Technical Report</w:t>
      </w:r>
      <w:r w:rsidR="009A1A78">
        <w:t xml:space="preserve"> will provide use cases where there may be a </w:t>
      </w:r>
      <w:r w:rsidR="00B12142">
        <w:t>“</w:t>
      </w:r>
      <w:r w:rsidR="009A1A78">
        <w:t>knowledge gap</w:t>
      </w:r>
      <w:r w:rsidR="00B12142">
        <w:t>”</w:t>
      </w:r>
      <w:r w:rsidR="009A1A78">
        <w:t xml:space="preserve"> in attaining </w:t>
      </w:r>
      <w:r w:rsidR="00DB1041">
        <w:t xml:space="preserve">the highest level of </w:t>
      </w:r>
      <w:r w:rsidR="009A1A78">
        <w:t>Attestatio</w:t>
      </w:r>
      <w:r w:rsidR="00B276BA">
        <w:t>n</w:t>
      </w:r>
      <w:r w:rsidR="00DB1041">
        <w:t>;</w:t>
      </w:r>
      <w:r w:rsidR="00B276BA">
        <w:t xml:space="preserve"> A</w:t>
      </w:r>
      <w:r w:rsidR="00942256">
        <w:t>.</w:t>
      </w:r>
    </w:p>
    <w:p w:rsidR="0057013D" w:rsidRDefault="0057013D" w:rsidP="009B1325">
      <w:pPr>
        <w:autoSpaceDE w:val="0"/>
        <w:autoSpaceDN w:val="0"/>
        <w:adjustRightInd w:val="0"/>
        <w:spacing w:before="0" w:after="0"/>
        <w:jc w:val="left"/>
      </w:pPr>
    </w:p>
    <w:p w:rsidR="00505D4E" w:rsidRDefault="00505D4E" w:rsidP="00505D4E">
      <w:pPr>
        <w:autoSpaceDE w:val="0"/>
        <w:autoSpaceDN w:val="0"/>
        <w:adjustRightInd w:val="0"/>
        <w:spacing w:before="0" w:after="0"/>
        <w:jc w:val="left"/>
      </w:pPr>
      <w:r>
        <w:t xml:space="preserve">This document is focused on </w:t>
      </w:r>
      <w:r w:rsidR="00F81EF0">
        <w:t>Caller ID</w:t>
      </w:r>
      <w:r>
        <w:t xml:space="preserve"> attestation and does not address calling party </w:t>
      </w:r>
      <w:r w:rsidR="00C2526B">
        <w:t xml:space="preserve">name, </w:t>
      </w:r>
      <w:r>
        <w:t xml:space="preserve">intent nor reputation. </w:t>
      </w:r>
    </w:p>
    <w:p w:rsidR="00505D4E" w:rsidRDefault="00505D4E" w:rsidP="00505D4E">
      <w:pPr>
        <w:autoSpaceDE w:val="0"/>
        <w:autoSpaceDN w:val="0"/>
        <w:adjustRightInd w:val="0"/>
        <w:spacing w:before="0" w:after="0"/>
        <w:jc w:val="left"/>
      </w:pPr>
    </w:p>
    <w:p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core SHAKEN Identity passports but nonetheless captures a broad representative sample of the scenarios where additional capability is needed to get Enterprises and other Business Entities a full attestation of the </w:t>
      </w:r>
      <w:r w:rsidR="00F81EF0">
        <w:t>Caller ID</w:t>
      </w:r>
      <w:r>
        <w:t>.</w:t>
      </w:r>
      <w:r w:rsidR="00D91AC2">
        <w:t xml:space="preserve"> </w:t>
      </w:r>
      <w:r w:rsidR="00806254">
        <w:t xml:space="preserve">These Use Cases and flows are illustrative and it is not intended to provide a </w:t>
      </w:r>
      <w:r w:rsidR="00DB1041">
        <w:t xml:space="preserve">standard </w:t>
      </w:r>
      <w:r w:rsidR="00806254">
        <w:t xml:space="preserve">mechanism to raise the Attestation level.  </w:t>
      </w:r>
      <w:r w:rsidR="00D91AC2">
        <w:t>The capability of a business entity to support one mechanism versus another to close the attestation knowledge gap will vary thus a suite of mechanisms are likely warranted</w:t>
      </w:r>
      <w:r w:rsidR="00B13F18">
        <w:t>.</w:t>
      </w:r>
      <w:r w:rsidR="00D91AC2">
        <w:t xml:space="preserve"> This document will capture the pr</w:t>
      </w:r>
      <w:r w:rsidR="009314E6">
        <w:t>inciples</w:t>
      </w:r>
      <w:r w:rsidR="00D91AC2">
        <w:t xml:space="preserve"> </w:t>
      </w:r>
      <w:r w:rsidR="00AC1DE8">
        <w:t>that should be adhered to in order to attain full attestation in the event there is no naturally verified association available to the OSP regarding the customer and the use of a TN as the Caller ID. Various mechanism are provided in an Annex with associated impacts to signaling, TNSP, OSP, and TNSP</w:t>
      </w:r>
      <w:r w:rsidR="00D91AC2">
        <w:t>.</w:t>
      </w:r>
      <w:r>
        <w:t xml:space="preserve">    </w:t>
      </w:r>
    </w:p>
    <w:p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rsidR="009B1325" w:rsidRDefault="009B1325" w:rsidP="001A2312"/>
    <w:p w:rsidR="00F64795" w:rsidRDefault="00F64795" w:rsidP="00F64795">
      <w:pPr>
        <w:pStyle w:val="Heading1"/>
      </w:pPr>
      <w:r>
        <w:t>Purpose</w:t>
      </w:r>
    </w:p>
    <w:p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does not have a verified association between the customer and the </w:t>
      </w:r>
      <w:r w:rsidR="00F81EF0">
        <w:t>Caller ID</w:t>
      </w:r>
      <w:r w:rsidR="00B03642">
        <w:t xml:space="preserve"> presented for all the customer’s</w:t>
      </w:r>
      <w:r w:rsidR="00942256">
        <w:t xml:space="preserve"> calls. </w:t>
      </w:r>
    </w:p>
    <w:p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rsidR="009A1A78" w:rsidRDefault="009A1A78" w:rsidP="009B1325">
      <w:pPr>
        <w:autoSpaceDE w:val="0"/>
        <w:autoSpaceDN w:val="0"/>
        <w:adjustRightInd w:val="0"/>
        <w:spacing w:before="0" w:after="0"/>
        <w:jc w:val="left"/>
        <w:rPr>
          <w:rFonts w:cs="Arial"/>
          <w:b/>
          <w:bCs/>
        </w:rPr>
      </w:pPr>
    </w:p>
    <w:p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rsidR="009A1A78" w:rsidRDefault="009A1A78" w:rsidP="009B1325">
      <w:pPr>
        <w:autoSpaceDE w:val="0"/>
        <w:autoSpaceDN w:val="0"/>
        <w:adjustRightInd w:val="0"/>
        <w:spacing w:before="0" w:after="0"/>
        <w:jc w:val="left"/>
        <w:rPr>
          <w:rFonts w:cs="Arial"/>
          <w:sz w:val="18"/>
          <w:szCs w:val="18"/>
        </w:rPr>
      </w:pPr>
    </w:p>
    <w:p w:rsidR="009A1A78" w:rsidRDefault="009A1A78" w:rsidP="009A1A78">
      <w:pPr>
        <w:autoSpaceDE w:val="0"/>
        <w:autoSpaceDN w:val="0"/>
        <w:adjustRightInd w:val="0"/>
        <w:spacing w:before="0" w:after="0"/>
        <w:jc w:val="left"/>
      </w:pPr>
    </w:p>
    <w:p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supplement SHAKEN attestation 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identity the impacts with each of the different mechanisms</w:t>
      </w:r>
      <w:r w:rsidR="00F55887">
        <w:t xml:space="preserve">.  </w:t>
      </w:r>
      <w:r>
        <w:t xml:space="preserve"> </w:t>
      </w:r>
      <w:r w:rsidR="00F55887">
        <w:rPr>
          <w:rFonts w:cs="Arial"/>
        </w:rPr>
        <w:t>.</w:t>
      </w:r>
    </w:p>
    <w:p w:rsidR="009D29BB" w:rsidRPr="00DA4AE3" w:rsidRDefault="009D29BB" w:rsidP="00AA2A20">
      <w:pPr>
        <w:rPr>
          <w:i/>
        </w:rPr>
      </w:pPr>
    </w:p>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rsidR="00DC2E79" w:rsidRPr="00276AC2" w:rsidRDefault="00B13F18" w:rsidP="00DC2E79">
      <w:r>
        <w:t xml:space="preserve">Telephone Number </w:t>
      </w:r>
      <w:r w:rsidR="00DC2E79" w:rsidRPr="00276AC2">
        <w:t>Customer</w:t>
      </w:r>
      <w:r>
        <w:t xml:space="preserve"> (TN Customer)</w:t>
      </w:r>
      <w:r w:rsidR="00DC2E79" w:rsidRPr="00276AC2">
        <w:t>: Entity (e.g.,</w:t>
      </w:r>
      <w:r w:rsidR="00DC2E79">
        <w:t xml:space="preserve"> </w:t>
      </w:r>
      <w:r w:rsidR="00DC2E79" w:rsidRPr="00276AC2">
        <w:t>enterprise</w:t>
      </w:r>
      <w:r w:rsidR="00DC2E79">
        <w:t xml:space="preserve">, 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DC2E79">
        <w:t>assigned these TNs by</w:t>
      </w:r>
      <w:r w:rsidR="00DC2E79" w:rsidRPr="00276AC2">
        <w:t xml:space="preserve"> a</w:t>
      </w:r>
      <w:r w:rsidR="00C2526B">
        <w:t>n authorized party</w:t>
      </w:r>
      <w:r w:rsidR="00DC2E79" w:rsidRPr="00276AC2">
        <w:t xml:space="preserve">. </w:t>
      </w:r>
    </w:p>
    <w:p w:rsidR="00DC2E79" w:rsidRDefault="00DC2E79" w:rsidP="00DC2E79">
      <w:r>
        <w:t xml:space="preserve">Hosted/Cloud Service Provider: Entity providing telephony services for multiple business entities, either using </w:t>
      </w:r>
      <w:r w:rsidR="00F81EF0">
        <w:t>Caller ID</w:t>
      </w:r>
      <w:r>
        <w:t xml:space="preserve"> numbers supplied by them to the business entity or provided by the business entity in a Bring Your Own Number (BYON) model.  These include hosted PBX, Unified Communications providers, Communications Platform as a Service (CPaaS) providers, Contact Centers, etc.</w:t>
      </w:r>
    </w:p>
    <w:p w:rsidR="00276AC2" w:rsidRDefault="00276AC2" w:rsidP="00276AC2">
      <w:r w:rsidRPr="00276AC2">
        <w:t>Originating S</w:t>
      </w:r>
      <w:r>
        <w:t xml:space="preserve">ervice </w:t>
      </w:r>
      <w:r w:rsidRPr="00276AC2">
        <w:t>P</w:t>
      </w:r>
      <w:r>
        <w:t>rovider</w:t>
      </w:r>
      <w:r w:rsidRPr="00276AC2">
        <w:t xml:space="preserve"> (OSP):  The service provider that handles the outgoing calls 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RespOrg and other roles.</w:t>
      </w:r>
    </w:p>
    <w:p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p>
    <w:p w:rsidR="00DC2E79" w:rsidRDefault="00DC2E79" w:rsidP="00DC2E79">
      <w:r>
        <w:t>RespOrg: A Responsible Organization is an entity authorized by the FCC to assign toll free numbers to Customers. A RespOrg may also be a service provider, a TN Reseller as well as act in other roles.</w:t>
      </w:r>
    </w:p>
    <w:p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Customer)</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rsidR="00A83E44" w:rsidRDefault="00A83E44" w:rsidP="00A83E44">
      <w:r>
        <w:t xml:space="preserve">TN </w:t>
      </w:r>
      <w:r w:rsidRPr="00276AC2">
        <w:t>Reseller S</w:t>
      </w:r>
      <w:r>
        <w:t xml:space="preserve">ervice </w:t>
      </w:r>
      <w:r w:rsidRPr="00276AC2">
        <w:t>P</w:t>
      </w:r>
      <w:r>
        <w:t>rovider</w:t>
      </w:r>
      <w:r w:rsidRPr="00276AC2">
        <w:t xml:space="preserve">: </w:t>
      </w:r>
      <w:r w:rsidR="00F56F81">
        <w:t>Entity that is assigned TNs by a TNSP and in turn provides those TNs</w:t>
      </w:r>
      <w:r w:rsidRPr="00276AC2">
        <w:t xml:space="preserve"> to various entities (e.g., </w:t>
      </w:r>
      <w:r w:rsidR="00B177AA">
        <w:t>contact</w:t>
      </w:r>
      <w:r w:rsidR="00B177AA" w:rsidRPr="00276AC2">
        <w:t xml:space="preserve"> </w:t>
      </w:r>
      <w:r w:rsidRPr="00276AC2">
        <w:t xml:space="preserve">centers, cloud </w:t>
      </w:r>
      <w:r w:rsidR="00B177AA">
        <w:t>providers</w:t>
      </w:r>
      <w:r w:rsidR="008315A4">
        <w:t>, OTT providers</w:t>
      </w:r>
      <w:r w:rsidRPr="00276AC2">
        <w:t xml:space="preserve">) that behave as </w:t>
      </w:r>
      <w:r w:rsidR="00B177AA">
        <w:t>TN Customers or may also resell TNs to other TN Resellers who serve those customer entities</w:t>
      </w:r>
      <w:r w:rsidRPr="00276AC2">
        <w:t xml:space="preserve">.  Reseller SP may also serve in the role of </w:t>
      </w:r>
      <w:r w:rsidR="00B177AA">
        <w:t>other SP types</w:t>
      </w:r>
      <w:r w:rsidRPr="00276AC2">
        <w:t xml:space="preserve">.  </w:t>
      </w:r>
    </w:p>
    <w:p w:rsidR="00F55887" w:rsidRPr="00276AC2" w:rsidRDefault="00F55887" w:rsidP="00A83E44"/>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Default="001F2162" w:rsidP="00F17692">
            <w:pPr>
              <w:rPr>
                <w:sz w:val="18"/>
                <w:szCs w:val="18"/>
              </w:rPr>
            </w:pPr>
            <w:r w:rsidRPr="001F2162">
              <w:rPr>
                <w:sz w:val="18"/>
                <w:szCs w:val="18"/>
              </w:rPr>
              <w:t>Alliance for Telecommunications Industry Solutions</w:t>
            </w:r>
          </w:p>
          <w:p w:rsidR="00BD4BD4" w:rsidRDefault="00BD4BD4" w:rsidP="00F17692">
            <w:pPr>
              <w:rPr>
                <w:sz w:val="18"/>
                <w:szCs w:val="18"/>
              </w:rPr>
            </w:pPr>
            <w:r>
              <w:rPr>
                <w:sz w:val="18"/>
                <w:szCs w:val="18"/>
              </w:rPr>
              <w:t xml:space="preserve">SIP Forum </w:t>
            </w:r>
          </w:p>
          <w:p w:rsidR="00BD4BD4" w:rsidRPr="001F2162" w:rsidRDefault="00BD4BD4" w:rsidP="00F17692">
            <w:pPr>
              <w:rPr>
                <w:sz w:val="18"/>
                <w:szCs w:val="18"/>
              </w:rPr>
            </w:pPr>
          </w:p>
        </w:tc>
      </w:tr>
    </w:tbl>
    <w:p w:rsidR="001F2162" w:rsidRDefault="001F2162" w:rsidP="001F2162"/>
    <w:p w:rsidR="001F2162" w:rsidRDefault="00B12142" w:rsidP="001F2162">
      <w:pPr>
        <w:pStyle w:val="Heading1"/>
      </w:pPr>
      <w:r>
        <w:t>Principles</w:t>
      </w:r>
      <w:r w:rsidR="00276AC2">
        <w:t xml:space="preserve"> </w:t>
      </w:r>
    </w:p>
    <w:p w:rsidR="009B1325" w:rsidRDefault="009B1325"/>
    <w:p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rsidR="00752849" w:rsidRDefault="00752849" w:rsidP="00CC0837">
      <w:pPr>
        <w:pStyle w:val="ListParagraph"/>
        <w:numPr>
          <w:ilvl w:val="0"/>
          <w:numId w:val="30"/>
        </w:numPr>
      </w:pPr>
      <w:r>
        <w:t>Service Providers must adhere to SHAKEN criteria for attestations A, B and C</w:t>
      </w:r>
      <w:r w:rsidR="00085F6B">
        <w:t>.</w:t>
      </w:r>
    </w:p>
    <w:p w:rsidR="00F649C4" w:rsidRDefault="00F649C4" w:rsidP="00F649C4">
      <w:pPr>
        <w:pStyle w:val="ListParagraph"/>
        <w:numPr>
          <w:ilvl w:val="0"/>
          <w:numId w:val="30"/>
        </w:numPr>
      </w:pPr>
      <w:r>
        <w:t>Any enhancements required to SHAKEN passport fields and certificates must be standardized</w:t>
      </w:r>
      <w:r w:rsidR="00F81EF0">
        <w:t xml:space="preserve"> by the ATIS/SIP </w:t>
      </w:r>
      <w:r w:rsidR="00746BAB">
        <w:t xml:space="preserve">Forum </w:t>
      </w:r>
      <w:r w:rsidR="00F81EF0">
        <w:t xml:space="preserve">IP NNI </w:t>
      </w:r>
      <w:r w:rsidR="00746BAB">
        <w:t>Task Force</w:t>
      </w:r>
      <w:r>
        <w:t>.</w:t>
      </w:r>
    </w:p>
    <w:p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passport </w:t>
      </w:r>
      <w:r w:rsidR="00213B79">
        <w:t xml:space="preserve">attesting to the validity of the TN independent of if </w:t>
      </w:r>
      <w:r w:rsidR="00F55887">
        <w:t>upstream business entities sign their own calls using certificates.</w:t>
      </w:r>
    </w:p>
    <w:p w:rsidR="00213B79" w:rsidRDefault="00213B79" w:rsidP="00F55887">
      <w:pPr>
        <w:pStyle w:val="ListParagraph"/>
        <w:numPr>
          <w:ilvl w:val="0"/>
          <w:numId w:val="30"/>
        </w:numPr>
        <w:autoSpaceDE w:val="0"/>
        <w:autoSpaceDN w:val="0"/>
        <w:adjustRightInd w:val="0"/>
        <w:spacing w:before="0" w:after="0"/>
        <w:jc w:val="left"/>
      </w:pPr>
      <w:r w:rsidRPr="00E956EA">
        <w:t xml:space="preserve">OSPs </w:t>
      </w:r>
      <w:r>
        <w:t>will be able to audit the mechanism(s) used to establish authorization for a customer to use specific TNs as the customer Caller ID for industry traceback purposes</w:t>
      </w:r>
      <w:r w:rsidR="00F71304">
        <w:t>.</w:t>
      </w:r>
      <w:r>
        <w:t xml:space="preserve"> </w:t>
      </w:r>
    </w:p>
    <w:p w:rsidR="00F55887" w:rsidRPr="002551CD" w:rsidRDefault="00F55887" w:rsidP="00F55887">
      <w:pPr>
        <w:pStyle w:val="ListParagraph"/>
        <w:numPr>
          <w:ilvl w:val="0"/>
          <w:numId w:val="30"/>
        </w:numPr>
        <w:autoSpaceDE w:val="0"/>
        <w:autoSpaceDN w:val="0"/>
        <w:adjustRightInd w:val="0"/>
        <w:spacing w:before="0" w:after="0"/>
        <w:jc w:val="left"/>
      </w:pPr>
      <w:r>
        <w:t xml:space="preserve">TNSPs and RespOrgs are authorized issuers of TNs to business entities and can vouch for a customer’s right to use a given TN as their </w:t>
      </w:r>
      <w:r w:rsidR="00F81EF0">
        <w:t>Caller ID</w:t>
      </w:r>
      <w:r>
        <w:t>.</w:t>
      </w:r>
    </w:p>
    <w:p w:rsidR="00F55887" w:rsidRDefault="00F81EF0" w:rsidP="00F55887">
      <w:pPr>
        <w:pStyle w:val="ListParagraph"/>
        <w:numPr>
          <w:ilvl w:val="0"/>
          <w:numId w:val="30"/>
        </w:numPr>
        <w:autoSpaceDE w:val="0"/>
        <w:autoSpaceDN w:val="0"/>
        <w:adjustRightInd w:val="0"/>
        <w:spacing w:before="0" w:after="0"/>
        <w:jc w:val="left"/>
      </w:pPr>
      <w:r>
        <w:t>Verification</w:t>
      </w:r>
      <w:r w:rsidR="009314E6">
        <w:t xml:space="preserve"> of p</w:t>
      </w:r>
      <w:r w:rsidR="00F55887">
        <w:t xml:space="preserve">ossession of a TN can be a </w:t>
      </w:r>
      <w:r>
        <w:t>means</w:t>
      </w:r>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t>Caller ID</w:t>
      </w:r>
      <w:r w:rsidR="008315A4" w:rsidRPr="008315A4">
        <w:t xml:space="preserve"> </w:t>
      </w:r>
      <w:r w:rsidR="008315A4">
        <w:t>for BYON and other use cases</w:t>
      </w:r>
      <w:r w:rsidR="00F55887">
        <w:t xml:space="preserve">. </w:t>
      </w:r>
    </w:p>
    <w:p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rsidR="00F649C4" w:rsidRDefault="005B4A7C" w:rsidP="00F649C4">
      <w:pPr>
        <w:pStyle w:val="ListParagraph"/>
        <w:numPr>
          <w:ilvl w:val="0"/>
          <w:numId w:val="30"/>
        </w:numPr>
        <w:autoSpaceDE w:val="0"/>
        <w:autoSpaceDN w:val="0"/>
        <w:adjustRightInd w:val="0"/>
        <w:spacing w:before="0" w:after="0"/>
        <w:jc w:val="left"/>
      </w:pPr>
      <w:r>
        <w:t xml:space="preserve">TNSPs should </w:t>
      </w:r>
      <w:r w:rsidR="00F649C4" w:rsidRPr="001855FC">
        <w:t xml:space="preserve">not </w:t>
      </w:r>
      <w:r>
        <w:t>require</w:t>
      </w:r>
      <w:r w:rsidR="00F649C4" w:rsidRPr="001855FC">
        <w:t xml:space="preserve"> the</w:t>
      </w:r>
      <w:r w:rsidR="00F649C4">
        <w:t xml:space="preserve"> </w:t>
      </w:r>
      <w:r w:rsidR="00F649C4" w:rsidRPr="001855FC">
        <w:t xml:space="preserve">TNs allocated to an OSP TNs </w:t>
      </w:r>
      <w:r>
        <w:t>match</w:t>
      </w:r>
      <w:r w:rsidR="00F649C4" w:rsidRPr="001855FC">
        <w:t xml:space="preserve"> the certificate scope </w:t>
      </w:r>
      <w:r>
        <w:t>or this will preclude other mechanisms from enabling an OSP to make a full attestation.</w:t>
      </w:r>
    </w:p>
    <w:p w:rsidR="00A104ED" w:rsidRDefault="00A104ED" w:rsidP="00A104ED">
      <w:pPr>
        <w:autoSpaceDE w:val="0"/>
        <w:autoSpaceDN w:val="0"/>
        <w:adjustRightInd w:val="0"/>
        <w:spacing w:before="0" w:after="0"/>
        <w:jc w:val="left"/>
      </w:pPr>
    </w:p>
    <w:p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rsidR="009D27BA" w:rsidRDefault="009D27BA"/>
    <w:p w:rsidR="00F71304" w:rsidRPr="00646215" w:rsidRDefault="00F71304">
      <w:pPr>
        <w:rPr>
          <w:color w:val="FF0000"/>
        </w:rPr>
      </w:pPr>
      <w:r w:rsidRPr="00646215">
        <w:rPr>
          <w:color w:val="FF0000"/>
        </w:rPr>
        <w:t>Editor’s Note: Participants should address the normative language and make it consistent throughout.</w:t>
      </w:r>
    </w:p>
    <w:p w:rsidR="00276AC2" w:rsidRDefault="00276AC2" w:rsidP="00276AC2">
      <w:pPr>
        <w:pStyle w:val="Heading1"/>
      </w:pPr>
      <w:r>
        <w:t xml:space="preserve">Use Cases </w:t>
      </w:r>
      <w:r w:rsidR="004E13AB">
        <w:t>Scenarios</w:t>
      </w:r>
    </w:p>
    <w:p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rsidR="00CA1404" w:rsidRDefault="00CA1404" w:rsidP="00CA1404">
      <w:pPr>
        <w:numPr>
          <w:ilvl w:val="0"/>
          <w:numId w:val="29"/>
        </w:numPr>
        <w:spacing w:before="0" w:after="0"/>
        <w:jc w:val="left"/>
      </w:pPr>
      <w:r>
        <w:t xml:space="preserve">Multi-homed </w:t>
      </w:r>
      <w:r w:rsidRPr="00810FD5">
        <w:t>Enterprise PBX</w:t>
      </w:r>
    </w:p>
    <w:p w:rsidR="00CA1404" w:rsidRDefault="00CA1404" w:rsidP="00CA1404">
      <w:pPr>
        <w:numPr>
          <w:ilvl w:val="0"/>
          <w:numId w:val="29"/>
        </w:numPr>
        <w:spacing w:before="0" w:after="0"/>
        <w:jc w:val="left"/>
      </w:pPr>
      <w:r w:rsidRPr="00810FD5">
        <w:t>OTT-PSTN interconnect</w:t>
      </w:r>
    </w:p>
    <w:p w:rsidR="00737358" w:rsidRDefault="00737358" w:rsidP="00810FD5">
      <w:pPr>
        <w:numPr>
          <w:ilvl w:val="0"/>
          <w:numId w:val="29"/>
        </w:numPr>
        <w:spacing w:before="0" w:after="0"/>
        <w:jc w:val="left"/>
      </w:pPr>
      <w:r>
        <w:t>Toll-Free originations</w:t>
      </w:r>
    </w:p>
    <w:p w:rsidR="00D22AA9" w:rsidRDefault="00D22AA9" w:rsidP="00810FD5">
      <w:pPr>
        <w:numPr>
          <w:ilvl w:val="0"/>
          <w:numId w:val="29"/>
        </w:numPr>
        <w:spacing w:before="0" w:after="0"/>
        <w:jc w:val="left"/>
      </w:pPr>
      <w:r>
        <w:t>Government</w:t>
      </w:r>
    </w:p>
    <w:p w:rsidR="00F649C4" w:rsidRDefault="00F649C4" w:rsidP="00737358">
      <w:pPr>
        <w:numPr>
          <w:ilvl w:val="0"/>
          <w:numId w:val="29"/>
        </w:numPr>
        <w:spacing w:before="0" w:after="0"/>
        <w:jc w:val="left"/>
      </w:pPr>
      <w:r>
        <w:t>Multi-tenant hosted/cloud PBX</w:t>
      </w:r>
    </w:p>
    <w:p w:rsidR="006C2096" w:rsidRDefault="006C2096" w:rsidP="00737358">
      <w:pPr>
        <w:numPr>
          <w:ilvl w:val="0"/>
          <w:numId w:val="29"/>
        </w:numPr>
        <w:spacing w:before="0" w:after="0"/>
        <w:jc w:val="left"/>
      </w:pPr>
      <w:r>
        <w:t xml:space="preserve">Unified Communications </w:t>
      </w:r>
    </w:p>
    <w:p w:rsidR="006C2096" w:rsidRPr="00810FD5" w:rsidRDefault="006C2096" w:rsidP="00737358">
      <w:pPr>
        <w:numPr>
          <w:ilvl w:val="0"/>
          <w:numId w:val="29"/>
        </w:numPr>
        <w:spacing w:before="0" w:after="0"/>
        <w:jc w:val="left"/>
      </w:pPr>
      <w:r>
        <w:t>Contact Centers</w:t>
      </w:r>
    </w:p>
    <w:p w:rsidR="00BF1EFD" w:rsidRPr="00810FD5" w:rsidRDefault="00FF24CE" w:rsidP="00810FD5">
      <w:pPr>
        <w:numPr>
          <w:ilvl w:val="0"/>
          <w:numId w:val="29"/>
        </w:numPr>
        <w:spacing w:before="0" w:after="0"/>
        <w:jc w:val="left"/>
      </w:pPr>
      <w:r w:rsidRPr="00810FD5">
        <w:t>MVNOs</w:t>
      </w:r>
      <w:r w:rsidR="00DF2FE8">
        <w:t xml:space="preserve"> (TBD)</w:t>
      </w:r>
    </w:p>
    <w:p w:rsidR="00BF1EFD" w:rsidRPr="00810FD5" w:rsidRDefault="00737358" w:rsidP="00810FD5">
      <w:pPr>
        <w:numPr>
          <w:ilvl w:val="0"/>
          <w:numId w:val="29"/>
        </w:numPr>
        <w:spacing w:before="0" w:after="0"/>
        <w:jc w:val="left"/>
      </w:pPr>
      <w:r>
        <w:t xml:space="preserve">VoIP </w:t>
      </w:r>
    </w:p>
    <w:p w:rsidR="004E13AB" w:rsidRPr="00810FD5" w:rsidRDefault="004E13AB" w:rsidP="00810FD5">
      <w:pPr>
        <w:numPr>
          <w:ilvl w:val="0"/>
          <w:numId w:val="29"/>
        </w:numPr>
        <w:spacing w:before="0" w:after="0"/>
        <w:jc w:val="left"/>
      </w:pPr>
      <w:r>
        <w:t>Other(s)?</w:t>
      </w:r>
    </w:p>
    <w:p w:rsidR="00810FD5" w:rsidRDefault="00810FD5" w:rsidP="002D480D">
      <w:pPr>
        <w:spacing w:before="0" w:after="0"/>
        <w:jc w:val="left"/>
      </w:pPr>
    </w:p>
    <w:p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rsidR="00276AC2" w:rsidRDefault="00276AC2" w:rsidP="00276AC2">
      <w:pPr>
        <w:spacing w:before="0" w:after="0"/>
        <w:jc w:val="left"/>
      </w:pPr>
    </w:p>
    <w:p w:rsidR="00D2664A" w:rsidRDefault="00D2664A" w:rsidP="00810FD5">
      <w:pPr>
        <w:spacing w:before="0" w:after="0"/>
        <w:jc w:val="left"/>
      </w:pPr>
    </w:p>
    <w:p w:rsidR="000370EE" w:rsidRDefault="000370EE" w:rsidP="000370EE">
      <w:pPr>
        <w:spacing w:before="0" w:after="0"/>
        <w:jc w:val="left"/>
      </w:pPr>
    </w:p>
    <w:p w:rsidR="002B37A0" w:rsidRDefault="002B37A0" w:rsidP="002B37A0">
      <w:pPr>
        <w:spacing w:before="0" w:after="0"/>
        <w:jc w:val="left"/>
      </w:pPr>
    </w:p>
    <w:p w:rsidR="004E13AB" w:rsidRDefault="002B37A0" w:rsidP="004E13AB">
      <w:pPr>
        <w:pStyle w:val="Heading1"/>
      </w:pPr>
      <w:r>
        <w:t>Use Case Flows</w:t>
      </w:r>
      <w:r w:rsidR="004E13AB">
        <w:t xml:space="preserve"> </w:t>
      </w:r>
    </w:p>
    <w:p w:rsidR="00D2664A" w:rsidRDefault="003E7EF6" w:rsidP="00276AC2">
      <w:pPr>
        <w:spacing w:before="0" w:after="0"/>
        <w:jc w:val="left"/>
      </w:pPr>
      <w:r>
        <w:t xml:space="preserve">The following Use Cases define the problem where in the SHAKEN ecosystem the Originating SP does not have a verified association between the customer and the Caller ID presented for all the customer’s calls and would therefore Attest to the call as B.  </w:t>
      </w:r>
    </w:p>
    <w:p w:rsidR="003E7EF6" w:rsidRDefault="003E7EF6" w:rsidP="00276AC2">
      <w:pPr>
        <w:spacing w:before="0" w:after="0"/>
        <w:jc w:val="left"/>
      </w:pPr>
    </w:p>
    <w:p w:rsidR="003E7EF6" w:rsidRDefault="003E7EF6" w:rsidP="00276AC2">
      <w:pPr>
        <w:spacing w:before="0" w:after="0"/>
        <w:jc w:val="left"/>
      </w:pPr>
      <w:r>
        <w:t>In this Section no mechanism are proposed, the Use Cases are to highlight the problem.  The Annex in this report provides various mechanism and associated impacts with each Use Cases.</w:t>
      </w:r>
    </w:p>
    <w:p w:rsidR="00D2664A" w:rsidRDefault="00D2664A" w:rsidP="00D2664A"/>
    <w:p w:rsidR="00D2664A" w:rsidRDefault="00D2664A" w:rsidP="00D2664A"/>
    <w:p w:rsidR="00D2664A" w:rsidRDefault="00D2664A" w:rsidP="00D2664A"/>
    <w:p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rsidR="00D247F3" w:rsidRDefault="00D247F3" w:rsidP="00D247F3">
      <w:r>
        <w:t>The TNSP and OSP are different Service Providers.  Normally under SHAKEN definitions this call would receive an Attestation B since OSP B is not the TNSP.</w:t>
      </w:r>
    </w:p>
    <w:p w:rsidR="00AA76DF" w:rsidRDefault="00AA76DF" w:rsidP="00D247F3"/>
    <w:p w:rsidR="00AC1DE8" w:rsidRDefault="00AC1DE8" w:rsidP="00D247F3"/>
    <w:p w:rsidR="00AC1DE8" w:rsidRDefault="003E7EF6" w:rsidP="00D247F3">
      <w:r w:rsidRPr="003E7EF6">
        <w:rPr>
          <w:noProof/>
        </w:rPr>
        <w:drawing>
          <wp:inline distT="0" distB="0" distL="0" distR="0" wp14:anchorId="4BBC6162" wp14:editId="1F61DB05">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rsidR="00D247F3" w:rsidRPr="00201D24" w:rsidRDefault="00D247F3" w:rsidP="00D247F3">
      <w:pPr>
        <w:numPr>
          <w:ilvl w:val="0"/>
          <w:numId w:val="34"/>
        </w:numPr>
      </w:pPr>
      <w:r w:rsidRPr="00201D24">
        <w:t>TN Customer with TN 555-</w:t>
      </w:r>
      <w:r>
        <w:t>456-1234</w:t>
      </w:r>
      <w:r w:rsidRPr="00201D24">
        <w:t xml:space="preserve"> assigned by </w:t>
      </w:r>
      <w:r>
        <w:t xml:space="preserve">TNSP A dials  555-321-4321 </w:t>
      </w:r>
    </w:p>
    <w:p w:rsidR="00D247F3" w:rsidRPr="00201D24" w:rsidRDefault="00D247F3" w:rsidP="00D247F3">
      <w:pPr>
        <w:numPr>
          <w:ilvl w:val="0"/>
          <w:numId w:val="34"/>
        </w:numPr>
      </w:pPr>
      <w:r>
        <w:t>OSP B</w:t>
      </w:r>
      <w:r w:rsidRPr="00201D24">
        <w:t xml:space="preserve"> </w:t>
      </w:r>
      <w:r w:rsidR="003E7EF6">
        <w:t xml:space="preserve">can not authenticate </w:t>
      </w:r>
      <w:r>
        <w:t xml:space="preserve">the TN </w:t>
      </w:r>
    </w:p>
    <w:p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rsidR="00D247F3" w:rsidRPr="00201D24" w:rsidRDefault="00D247F3" w:rsidP="00D247F3">
      <w:pPr>
        <w:numPr>
          <w:ilvl w:val="0"/>
          <w:numId w:val="34"/>
        </w:numPr>
      </w:pPr>
      <w:r w:rsidRPr="00201D24">
        <w:t>The PASSporT is signed using an STI-Certificate with a TNAuthlist containing a single SP</w:t>
      </w:r>
      <w:r>
        <w:t>C with a value assigned to OSP B</w:t>
      </w:r>
    </w:p>
    <w:p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rsidR="00FE7533" w:rsidRDefault="00FE7533" w:rsidP="00FE7533"/>
    <w:p w:rsidR="00FE7533" w:rsidRPr="00FE7533" w:rsidRDefault="00FE7533" w:rsidP="00FE7533"/>
    <w:p w:rsidR="00D247F3" w:rsidRDefault="008C7F58" w:rsidP="00D247F3">
      <w:r w:rsidRPr="008C7F58">
        <w:rPr>
          <w:noProof/>
        </w:rPr>
        <w:lastRenderedPageBreak/>
        <w:drawing>
          <wp:inline distT="0" distB="0" distL="0" distR="0" wp14:anchorId="52A8D3E5" wp14:editId="2A51322A">
            <wp:extent cx="6400800" cy="3297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97555"/>
                    </a:xfrm>
                    <a:prstGeom prst="rect">
                      <a:avLst/>
                    </a:prstGeom>
                  </pic:spPr>
                </pic:pic>
              </a:graphicData>
            </a:graphic>
          </wp:inline>
        </w:drawing>
      </w:r>
    </w:p>
    <w:p w:rsidR="00D253E4" w:rsidRPr="00201D24" w:rsidRDefault="00D253E4" w:rsidP="00D253E4">
      <w:pPr>
        <w:numPr>
          <w:ilvl w:val="0"/>
          <w:numId w:val="39"/>
        </w:numPr>
      </w:pPr>
      <w:r w:rsidRPr="00201D24">
        <w:t>TN Customer</w:t>
      </w:r>
      <w:r>
        <w:t xml:space="preserve"> 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Customer 2 originates call to OSP B through the </w:t>
      </w:r>
      <w:r w:rsidR="00AB4FB7">
        <w:t xml:space="preserve">Hosted </w:t>
      </w:r>
      <w:r>
        <w:t xml:space="preserve">Cloud Provider </w:t>
      </w:r>
    </w:p>
    <w:p w:rsidR="00D253E4" w:rsidRPr="00201D24" w:rsidRDefault="00D253E4" w:rsidP="00D253E4">
      <w:pPr>
        <w:numPr>
          <w:ilvl w:val="0"/>
          <w:numId w:val="39"/>
        </w:numPr>
      </w:pPr>
      <w:r>
        <w:t>OSP B</w:t>
      </w:r>
      <w:r w:rsidRPr="00201D24">
        <w:t xml:space="preserve"> </w:t>
      </w:r>
      <w:r>
        <w:t xml:space="preserve">can not authenticate the Caller ID. </w:t>
      </w:r>
    </w:p>
    <w:p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rsidR="00D253E4" w:rsidRPr="00201D24" w:rsidRDefault="00D253E4" w:rsidP="00D253E4">
      <w:pPr>
        <w:numPr>
          <w:ilvl w:val="0"/>
          <w:numId w:val="39"/>
        </w:numPr>
      </w:pPr>
      <w:r w:rsidRPr="00201D24">
        <w:t>The PASSporT is signed using an STI-Certificate with a TNAuthlist containing a single SP</w:t>
      </w:r>
      <w:r>
        <w:t>C with a value assigned to OSP B</w:t>
      </w:r>
    </w:p>
    <w:p w:rsidR="00D253E4" w:rsidRDefault="00D253E4" w:rsidP="00D247F3"/>
    <w:p w:rsidR="009E5CBF" w:rsidRPr="009E5CBF" w:rsidRDefault="009E5CBF" w:rsidP="009E5CBF"/>
    <w:p w:rsidR="00D2664A" w:rsidRPr="00D2664A" w:rsidRDefault="00D2664A" w:rsidP="00D2664A"/>
    <w:p w:rsidR="00283C92" w:rsidRPr="005B70EE" w:rsidRDefault="006C2096" w:rsidP="00283C92">
      <w:pPr>
        <w:pStyle w:val="Heading2"/>
      </w:pPr>
      <w:r>
        <w:t xml:space="preserve">Use Case </w:t>
      </w:r>
      <w:r w:rsidR="00321629">
        <w:t>3</w:t>
      </w:r>
      <w:r>
        <w:t xml:space="preserve"> – </w:t>
      </w:r>
      <w:r w:rsidR="003C473B">
        <w:t xml:space="preserve">Contact Centers, BYON </w:t>
      </w:r>
    </w:p>
    <w:p w:rsidR="00283C92" w:rsidRDefault="00283C92" w:rsidP="00276AC2">
      <w:pPr>
        <w:spacing w:before="0" w:after="0"/>
        <w:jc w:val="left"/>
      </w:pPr>
    </w:p>
    <w:p w:rsidR="008C7F58" w:rsidRDefault="008C7F58" w:rsidP="00276AC2">
      <w:pPr>
        <w:spacing w:before="0" w:after="0"/>
        <w:jc w:val="left"/>
      </w:pPr>
      <w:r>
        <w:t>BYON applies to Use Cases UCaaS/CPaaS/OTT scenarios as an option</w:t>
      </w:r>
    </w:p>
    <w:p w:rsidR="008C7F58" w:rsidRDefault="008C7F58" w:rsidP="00276AC2">
      <w:pPr>
        <w:spacing w:before="0" w:after="0"/>
        <w:jc w:val="left"/>
      </w:pPr>
      <w:r w:rsidRPr="008C7F58">
        <w:rPr>
          <w:noProof/>
        </w:rPr>
        <w:lastRenderedPageBreak/>
        <w:drawing>
          <wp:inline distT="0" distB="0" distL="0" distR="0" wp14:anchorId="5541B22D" wp14:editId="2AE6FDB6">
            <wp:extent cx="6400800" cy="3369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369310"/>
                    </a:xfrm>
                    <a:prstGeom prst="rect">
                      <a:avLst/>
                    </a:prstGeom>
                  </pic:spPr>
                </pic:pic>
              </a:graphicData>
            </a:graphic>
          </wp:inline>
        </w:drawing>
      </w:r>
    </w:p>
    <w:p w:rsidR="00AB4FB7" w:rsidRDefault="00AB4FB7" w:rsidP="00276AC2">
      <w:pPr>
        <w:spacing w:before="0" w:after="0"/>
        <w:jc w:val="left"/>
      </w:pPr>
    </w:p>
    <w:p w:rsidR="00AB4FB7" w:rsidRDefault="00AB4FB7" w:rsidP="00276AC2">
      <w:pPr>
        <w:spacing w:before="0" w:after="0"/>
        <w:jc w:val="left"/>
      </w:pPr>
    </w:p>
    <w:p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TN Customer 2.  This TN was obtained through a Reseller</w:t>
      </w:r>
      <w:r>
        <w:t xml:space="preserve"> who obtained the TNs from TNSP A</w:t>
      </w:r>
      <w:r w:rsidR="00AB4FB7">
        <w:t xml:space="preserve">.  Call Center dials 555-321-4321 and </w:t>
      </w:r>
      <w:r>
        <w:t xml:space="preserve">originates call to OSP B directly </w:t>
      </w:r>
      <w:r w:rsidR="00AB4FB7">
        <w:t xml:space="preserve">using TN Customer 2’s Caller ID </w:t>
      </w:r>
      <w:r>
        <w:t>and does not originate call</w:t>
      </w:r>
      <w:r w:rsidR="00AB4FB7">
        <w:t xml:space="preserve"> through Reseller’s network</w:t>
      </w:r>
    </w:p>
    <w:p w:rsidR="00DE7466" w:rsidRPr="00201D24" w:rsidRDefault="00DE7466" w:rsidP="00321629">
      <w:pPr>
        <w:numPr>
          <w:ilvl w:val="0"/>
          <w:numId w:val="41"/>
        </w:numPr>
      </w:pPr>
      <w:r>
        <w:t>OSP B</w:t>
      </w:r>
      <w:r w:rsidRPr="00201D24">
        <w:t xml:space="preserve"> </w:t>
      </w:r>
      <w:r w:rsidR="003C473B">
        <w:t>can not authenticate the Caller ID</w:t>
      </w:r>
    </w:p>
    <w:p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rsidR="00DE7466" w:rsidRPr="00201D24" w:rsidRDefault="00DE7466" w:rsidP="00321629">
      <w:pPr>
        <w:numPr>
          <w:ilvl w:val="0"/>
          <w:numId w:val="41"/>
        </w:numPr>
      </w:pPr>
      <w:r w:rsidRPr="00201D24">
        <w:t>The PASSporT is signed using an STI-Certificate with a TNAuthlist containing a single SP</w:t>
      </w:r>
      <w:r>
        <w:t>C with a value assigned to OSP B</w:t>
      </w:r>
    </w:p>
    <w:p w:rsidR="00C51DE3" w:rsidRDefault="00C51DE3" w:rsidP="00276AC2">
      <w:pPr>
        <w:spacing w:before="0" w:after="0"/>
        <w:jc w:val="left"/>
      </w:pPr>
    </w:p>
    <w:p w:rsidR="00283C92" w:rsidRDefault="00283C92" w:rsidP="00276AC2">
      <w:pPr>
        <w:spacing w:before="0" w:after="0"/>
        <w:jc w:val="left"/>
      </w:pPr>
    </w:p>
    <w:p w:rsidR="008C7F58" w:rsidRDefault="008C7F58" w:rsidP="008C7F58">
      <w:pPr>
        <w:pStyle w:val="Heading2"/>
      </w:pPr>
      <w:r>
        <w:t xml:space="preserve">Use Case </w:t>
      </w:r>
      <w:r w:rsidR="00AB0C81">
        <w:t>4</w:t>
      </w:r>
      <w:r>
        <w:t xml:space="preserve"> – </w:t>
      </w:r>
      <w:r>
        <w:rPr>
          <w:bCs/>
        </w:rPr>
        <w:t>Toll Free Originations (On Premise PBX, Hosted/Cloud Platform)</w:t>
      </w:r>
    </w:p>
    <w:p w:rsidR="008C7F58" w:rsidRDefault="008C7F58" w:rsidP="008C7F58">
      <w:pPr>
        <w:pStyle w:val="Heading2"/>
        <w:numPr>
          <w:ilvl w:val="0"/>
          <w:numId w:val="0"/>
        </w:numPr>
        <w:ind w:left="360"/>
      </w:pPr>
    </w:p>
    <w:p w:rsidR="008C7F58" w:rsidRDefault="008C7F58" w:rsidP="008C7F58"/>
    <w:p w:rsidR="008C7F58" w:rsidRDefault="008C7F58" w:rsidP="008C7F58"/>
    <w:p w:rsidR="008C7F58" w:rsidRDefault="008C7F58" w:rsidP="008C7F58">
      <w:r w:rsidRPr="00AA76DF">
        <w:rPr>
          <w:noProof/>
        </w:rPr>
        <w:lastRenderedPageBreak/>
        <w:drawing>
          <wp:inline distT="0" distB="0" distL="0" distR="0" wp14:anchorId="65F60684" wp14:editId="2A64E78C">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34055"/>
                    </a:xfrm>
                    <a:prstGeom prst="rect">
                      <a:avLst/>
                    </a:prstGeom>
                  </pic:spPr>
                </pic:pic>
              </a:graphicData>
            </a:graphic>
          </wp:inline>
        </w:drawing>
      </w:r>
    </w:p>
    <w:p w:rsidR="008C7F58" w:rsidRDefault="008C7F58" w:rsidP="008C7F58"/>
    <w:p w:rsidR="008C7F58" w:rsidRDefault="008C7F58" w:rsidP="008C7F58"/>
    <w:p w:rsidR="008C7F58" w:rsidRPr="00201D24" w:rsidRDefault="008C7F58" w:rsidP="008C7F58">
      <w:pPr>
        <w:pStyle w:val="ListParagraph"/>
        <w:numPr>
          <w:ilvl w:val="0"/>
          <w:numId w:val="35"/>
        </w:numPr>
      </w:pPr>
      <w:r w:rsidRPr="00201D24">
        <w:t xml:space="preserve">TN Customer with TN 555-123-1234 assigned by </w:t>
      </w:r>
      <w:r>
        <w:t>RespOrg, calls 555-321-4321 from 800-123-2234 using OSP E</w:t>
      </w:r>
      <w:r w:rsidRPr="00201D24">
        <w:t xml:space="preserve">. </w:t>
      </w:r>
    </w:p>
    <w:p w:rsidR="008C7F58" w:rsidRPr="00201D24" w:rsidRDefault="008C7F58" w:rsidP="008C7F58">
      <w:pPr>
        <w:numPr>
          <w:ilvl w:val="0"/>
          <w:numId w:val="35"/>
        </w:numPr>
      </w:pPr>
      <w:r>
        <w:t>OSP E</w:t>
      </w:r>
      <w:r w:rsidRPr="00201D24">
        <w:t xml:space="preserve"> </w:t>
      </w:r>
      <w:r>
        <w:t>can not authenticate the Caller ID 800 Number.</w:t>
      </w:r>
    </w:p>
    <w:p w:rsidR="008C7F58" w:rsidRPr="00201D24" w:rsidRDefault="008C7F58" w:rsidP="008C7F58">
      <w:pPr>
        <w:numPr>
          <w:ilvl w:val="0"/>
          <w:numId w:val="35"/>
        </w:numPr>
      </w:pPr>
      <w:r>
        <w:t>OSP E</w:t>
      </w:r>
      <w:r w:rsidRPr="00201D24">
        <w:t xml:space="preserve"> adds a SIP Identity header field with a SHAKEN PA</w:t>
      </w:r>
      <w:r>
        <w:t>SSporT setting Attestation to B.  .</w:t>
      </w:r>
    </w:p>
    <w:p w:rsidR="008C7F58" w:rsidRPr="00201D24" w:rsidRDefault="008C7F58" w:rsidP="008C7F58">
      <w:pPr>
        <w:numPr>
          <w:ilvl w:val="0"/>
          <w:numId w:val="35"/>
        </w:numPr>
      </w:pPr>
      <w:r w:rsidRPr="00201D24">
        <w:t>The PASSporT is signed using an STI-Certificate with a TNAuthlist containing a single SP</w:t>
      </w:r>
      <w:r>
        <w:t>C with a value assigned to OSP E.</w:t>
      </w:r>
    </w:p>
    <w:p w:rsidR="00CE641C" w:rsidRDefault="00E6723C" w:rsidP="00283C92">
      <w:pPr>
        <w:pStyle w:val="Heading2"/>
        <w:spacing w:before="0" w:after="0"/>
        <w:jc w:val="left"/>
      </w:pPr>
      <w:r w:rsidRPr="00CE641C">
        <w:br w:type="page"/>
      </w:r>
    </w:p>
    <w:p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rsidR="001F2162" w:rsidRDefault="001F2162" w:rsidP="00CE641C">
      <w:pPr>
        <w:spacing w:before="0" w:after="0"/>
        <w:jc w:val="center"/>
      </w:pPr>
      <w:r>
        <w:lastRenderedPageBreak/>
        <w:t>(normative/informative)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3C473B">
        <w:t>Mechanisms to Address Use Cases</w:t>
      </w:r>
    </w:p>
    <w:p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rsidR="009920E1" w:rsidRDefault="009920E1" w:rsidP="009920E1">
      <w:pPr>
        <w:spacing w:before="0" w:after="0"/>
        <w:jc w:val="left"/>
      </w:pPr>
    </w:p>
    <w:p w:rsidR="009920E1" w:rsidRPr="000370EE"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r>
        <w:t>It is recognized that s</w:t>
      </w:r>
      <w:r w:rsidRPr="000370EE">
        <w:t>ome enterprises may want to sign their own originations while others will not</w:t>
      </w:r>
      <w:r>
        <w:t xml:space="preserve">.  </w:t>
      </w:r>
      <w:r w:rsidRPr="000370EE">
        <w:t xml:space="preserve">A solution </w:t>
      </w:r>
      <w:r>
        <w:t>may require multiple mechanisms. In many</w:t>
      </w:r>
      <w:r w:rsidRPr="000370EE">
        <w:t xml:space="preserve"> cases, the Service Providers </w:t>
      </w:r>
      <w:r>
        <w:t xml:space="preserve">may need to provide </w:t>
      </w:r>
      <w:r w:rsidRPr="000370EE">
        <w:t>most of the effort for the enterprises</w:t>
      </w:r>
      <w:r>
        <w:t>.</w:t>
      </w:r>
    </w:p>
    <w:p w:rsidR="009920E1" w:rsidRPr="009920E1" w:rsidRDefault="009920E1" w:rsidP="009920E1"/>
    <w:tbl>
      <w:tblPr>
        <w:tblStyle w:val="TableGrid"/>
        <w:tblW w:w="12690" w:type="dxa"/>
        <w:tblInd w:w="-5" w:type="dxa"/>
        <w:tblLayout w:type="fixed"/>
        <w:tblLook w:val="04A0" w:firstRow="1" w:lastRow="0" w:firstColumn="1" w:lastColumn="0" w:noHBand="0" w:noVBand="1"/>
      </w:tblPr>
      <w:tblGrid>
        <w:gridCol w:w="1525"/>
        <w:gridCol w:w="1535"/>
        <w:gridCol w:w="1525"/>
        <w:gridCol w:w="1715"/>
        <w:gridCol w:w="1710"/>
        <w:gridCol w:w="1350"/>
        <w:gridCol w:w="1530"/>
        <w:gridCol w:w="1800"/>
      </w:tblGrid>
      <w:tr w:rsidR="00F7730C" w:rsidTr="00455319">
        <w:tc>
          <w:tcPr>
            <w:tcW w:w="1525" w:type="dxa"/>
            <w:tcBorders>
              <w:bottom w:val="double" w:sz="4" w:space="0" w:color="auto"/>
            </w:tcBorders>
            <w:shd w:val="clear" w:color="auto" w:fill="E7E6E6" w:themeFill="background2"/>
          </w:tcPr>
          <w:p w:rsidR="00367B16" w:rsidRDefault="00367B16" w:rsidP="000D4C5F">
            <w:pPr>
              <w:jc w:val="left"/>
            </w:pPr>
            <w:r>
              <w:t xml:space="preserve">Mechanism </w:t>
            </w:r>
          </w:p>
          <w:p w:rsidR="00367B16" w:rsidRDefault="00367B16" w:rsidP="000D4C5F">
            <w:pPr>
              <w:jc w:val="left"/>
            </w:pPr>
            <w:r>
              <w:t>Options</w:t>
            </w:r>
          </w:p>
        </w:tc>
        <w:tc>
          <w:tcPr>
            <w:tcW w:w="1535" w:type="dxa"/>
            <w:tcBorders>
              <w:bottom w:val="double" w:sz="4" w:space="0" w:color="auto"/>
            </w:tcBorders>
            <w:shd w:val="clear" w:color="auto" w:fill="E7E6E6" w:themeFill="background2"/>
          </w:tcPr>
          <w:p w:rsidR="00367B16" w:rsidRDefault="00367B16" w:rsidP="000D4C5F">
            <w:pPr>
              <w:jc w:val="left"/>
            </w:pPr>
            <w:r>
              <w:t>Changes in SIP Signaling</w:t>
            </w:r>
          </w:p>
          <w:p w:rsidR="00367B16" w:rsidRDefault="00367B16" w:rsidP="000D4C5F">
            <w:pPr>
              <w:jc w:val="left"/>
            </w:pPr>
            <w:r>
              <w:t>Standards Impact</w:t>
            </w:r>
          </w:p>
        </w:tc>
        <w:tc>
          <w:tcPr>
            <w:tcW w:w="1525" w:type="dxa"/>
            <w:tcBorders>
              <w:bottom w:val="double" w:sz="4" w:space="0" w:color="auto"/>
            </w:tcBorders>
            <w:shd w:val="clear" w:color="auto" w:fill="E7E6E6" w:themeFill="background2"/>
          </w:tcPr>
          <w:p w:rsidR="00367B16" w:rsidRDefault="00367B16" w:rsidP="00321629">
            <w:pPr>
              <w:jc w:val="left"/>
            </w:pPr>
            <w:r>
              <w:t>Impacts on OSP</w:t>
            </w:r>
          </w:p>
        </w:tc>
        <w:tc>
          <w:tcPr>
            <w:tcW w:w="1715" w:type="dxa"/>
            <w:tcBorders>
              <w:bottom w:val="double" w:sz="4" w:space="0" w:color="auto"/>
            </w:tcBorders>
            <w:shd w:val="clear" w:color="auto" w:fill="E7E6E6" w:themeFill="background2"/>
          </w:tcPr>
          <w:p w:rsidR="00367B16" w:rsidRDefault="00367B16" w:rsidP="000D4C5F">
            <w:r>
              <w:t>Additional TN Customer Effort (</w:t>
            </w:r>
            <w:r w:rsidR="00F7730C">
              <w:t>i</w:t>
            </w:r>
            <w:r w:rsidR="000D4C5F">
              <w:t>.</w:t>
            </w:r>
            <w:r w:rsidR="00F7730C">
              <w:t xml:space="preserve">e. </w:t>
            </w:r>
            <w:r>
              <w:t>Enterprise</w:t>
            </w:r>
            <w:r w:rsidR="00F7730C">
              <w:t xml:space="preserve"> </w:t>
            </w:r>
            <w:r>
              <w:t>/</w:t>
            </w:r>
            <w:r w:rsidR="00F7730C">
              <w:t xml:space="preserve"> </w:t>
            </w:r>
            <w:r>
              <w:t xml:space="preserve">Business Entity) </w:t>
            </w:r>
          </w:p>
        </w:tc>
        <w:tc>
          <w:tcPr>
            <w:tcW w:w="1710" w:type="dxa"/>
            <w:tcBorders>
              <w:bottom w:val="double" w:sz="4" w:space="0" w:color="auto"/>
            </w:tcBorders>
            <w:shd w:val="clear" w:color="auto" w:fill="E7E6E6" w:themeFill="background2"/>
          </w:tcPr>
          <w:p w:rsidR="00367B16" w:rsidRDefault="00367B16" w:rsidP="000D4C5F">
            <w:pPr>
              <w:jc w:val="left"/>
            </w:pPr>
            <w:r>
              <w:t xml:space="preserve">Impacts on TNSP </w:t>
            </w:r>
          </w:p>
        </w:tc>
        <w:tc>
          <w:tcPr>
            <w:tcW w:w="1350" w:type="dxa"/>
            <w:tcBorders>
              <w:bottom w:val="double" w:sz="4" w:space="0" w:color="auto"/>
            </w:tcBorders>
            <w:shd w:val="clear" w:color="auto" w:fill="E7E6E6" w:themeFill="background2"/>
          </w:tcPr>
          <w:p w:rsidR="00367B16" w:rsidRDefault="00367B16" w:rsidP="000D4C5F">
            <w:pPr>
              <w:jc w:val="left"/>
            </w:pPr>
            <w:r>
              <w:t>Impacts on TSP</w:t>
            </w:r>
          </w:p>
        </w:tc>
        <w:tc>
          <w:tcPr>
            <w:tcW w:w="1530" w:type="dxa"/>
            <w:tcBorders>
              <w:bottom w:val="double" w:sz="4" w:space="0" w:color="auto"/>
            </w:tcBorders>
            <w:shd w:val="clear" w:color="auto" w:fill="E7E6E6" w:themeFill="background2"/>
          </w:tcPr>
          <w:p w:rsidR="00367B16" w:rsidRDefault="00B06E1F" w:rsidP="00B06E1F">
            <w:pPr>
              <w:jc w:val="left"/>
            </w:pPr>
            <w:r>
              <w:t xml:space="preserve">Number Portability </w:t>
            </w:r>
            <w:r w:rsidR="00367B16">
              <w:t>Impacts</w:t>
            </w:r>
          </w:p>
        </w:tc>
        <w:tc>
          <w:tcPr>
            <w:tcW w:w="1800" w:type="dxa"/>
            <w:tcBorders>
              <w:bottom w:val="double" w:sz="4" w:space="0" w:color="auto"/>
            </w:tcBorders>
            <w:shd w:val="clear" w:color="auto" w:fill="E7E6E6" w:themeFill="background2"/>
          </w:tcPr>
          <w:p w:rsidR="00367B16" w:rsidRDefault="00367B16" w:rsidP="00455319">
            <w:pPr>
              <w:jc w:val="left"/>
            </w:pPr>
            <w:r>
              <w:t>Use Cases Addressed</w:t>
            </w:r>
            <w:r w:rsidR="00730A16">
              <w:t xml:space="preserve"> (</w:t>
            </w:r>
            <w:r w:rsidR="00455319">
              <w:t>when</w:t>
            </w:r>
            <w:r w:rsidR="00730A16">
              <w:t xml:space="preserve"> originator is capable)</w:t>
            </w:r>
          </w:p>
        </w:tc>
      </w:tr>
      <w:tr w:rsidR="000D4C5F" w:rsidTr="00455319">
        <w:tc>
          <w:tcPr>
            <w:tcW w:w="1525" w:type="dxa"/>
            <w:tcBorders>
              <w:top w:val="double" w:sz="4" w:space="0" w:color="auto"/>
            </w:tcBorders>
          </w:tcPr>
          <w:p w:rsidR="00367B16" w:rsidRDefault="00F05308" w:rsidP="000D4C5F">
            <w:pPr>
              <w:jc w:val="left"/>
            </w:pPr>
            <w:r>
              <w:t>Delegated Certificates</w:t>
            </w:r>
          </w:p>
          <w:p w:rsidR="00723100" w:rsidRDefault="00723100" w:rsidP="000D4C5F">
            <w:pPr>
              <w:jc w:val="left"/>
            </w:pPr>
            <w:r>
              <w:t>(certs provided by TNSPs)</w:t>
            </w:r>
          </w:p>
        </w:tc>
        <w:tc>
          <w:tcPr>
            <w:tcW w:w="1535" w:type="dxa"/>
            <w:tcBorders>
              <w:top w:val="double" w:sz="4" w:space="0" w:color="auto"/>
            </w:tcBorders>
          </w:tcPr>
          <w:p w:rsidR="00367B16" w:rsidRDefault="00F05308" w:rsidP="000D4C5F">
            <w:r>
              <w:t>Requires support for</w:t>
            </w:r>
            <w:r w:rsidR="00730A16">
              <w:t xml:space="preserve"> a new ID header per</w:t>
            </w:r>
            <w:r>
              <w:t xml:space="preserve"> draft-ietf-stir-cert-delegation</w:t>
            </w:r>
          </w:p>
        </w:tc>
        <w:tc>
          <w:tcPr>
            <w:tcW w:w="1525" w:type="dxa"/>
            <w:tcBorders>
              <w:top w:val="double" w:sz="4" w:space="0" w:color="auto"/>
            </w:tcBorders>
          </w:tcPr>
          <w:p w:rsidR="00F7730C" w:rsidRDefault="00F7730C" w:rsidP="00F05308">
            <w:r>
              <w:t xml:space="preserve">OSP could ignore and leave TSP to handle this ID header </w:t>
            </w:r>
          </w:p>
          <w:p w:rsidR="00367B16" w:rsidRDefault="00F05308" w:rsidP="00F05308">
            <w:r>
              <w:t xml:space="preserve">OSP can add a SIP </w:t>
            </w:r>
            <w:r w:rsidR="00F7730C">
              <w:t xml:space="preserve">ID </w:t>
            </w:r>
            <w:r>
              <w:t>header field</w:t>
            </w:r>
            <w:r w:rsidR="00F7730C">
              <w:t xml:space="preserve"> (stacked ID headers)</w:t>
            </w:r>
          </w:p>
          <w:p w:rsidR="00730A16" w:rsidRDefault="00730A16" w:rsidP="00F7730C">
            <w:r>
              <w:t xml:space="preserve">OSP can </w:t>
            </w:r>
            <w:r w:rsidR="00F7730C">
              <w:t>terminate</w:t>
            </w:r>
            <w:r>
              <w:t xml:space="preserve"> the delegated ID header and </w:t>
            </w:r>
            <w:r w:rsidR="00F7730C">
              <w:t>re</w:t>
            </w:r>
            <w:r>
              <w:t xml:space="preserve">construct </w:t>
            </w:r>
            <w:r w:rsidR="00F7730C">
              <w:t xml:space="preserve">in </w:t>
            </w:r>
            <w:r>
              <w:t>the</w:t>
            </w:r>
            <w:r w:rsidR="00F7730C">
              <w:t>ir own</w:t>
            </w:r>
            <w:r>
              <w:t xml:space="preserve"> classic SHAKEN ID header</w:t>
            </w:r>
          </w:p>
        </w:tc>
        <w:tc>
          <w:tcPr>
            <w:tcW w:w="1715" w:type="dxa"/>
            <w:tcBorders>
              <w:top w:val="double" w:sz="4" w:space="0" w:color="auto"/>
            </w:tcBorders>
          </w:tcPr>
          <w:p w:rsidR="00367B16" w:rsidRDefault="00F05308" w:rsidP="00F7730C">
            <w:r>
              <w:t>Obtains delegated certificate</w:t>
            </w:r>
            <w:r w:rsidR="00455319">
              <w:t xml:space="preserve"> from TNSP</w:t>
            </w:r>
            <w:r>
              <w:t xml:space="preserve"> and </w:t>
            </w:r>
            <w:r w:rsidR="00F7730C">
              <w:t xml:space="preserve">attaches </w:t>
            </w:r>
            <w:r>
              <w:t>SIP</w:t>
            </w:r>
            <w:r w:rsidR="00F7730C">
              <w:t xml:space="preserve"> ID</w:t>
            </w:r>
            <w:r w:rsidR="00455319">
              <w:t xml:space="preserve"> Header to calls.</w:t>
            </w:r>
          </w:p>
          <w:p w:rsidR="006546A7" w:rsidRDefault="006546A7" w:rsidP="006546A7">
            <w:r>
              <w:t>Must sign</w:t>
            </w:r>
            <w:r w:rsidR="001E0E6D">
              <w:t xml:space="preserve"> each</w:t>
            </w:r>
            <w:r>
              <w:t xml:space="preserve"> call using the </w:t>
            </w:r>
            <w:r w:rsidR="001E0E6D">
              <w:t xml:space="preserve">delegate </w:t>
            </w:r>
            <w:r>
              <w:t xml:space="preserve">certificate </w:t>
            </w:r>
            <w:r w:rsidR="001E0E6D">
              <w:t>from the TNSP who currently owns the TN</w:t>
            </w:r>
          </w:p>
        </w:tc>
        <w:tc>
          <w:tcPr>
            <w:tcW w:w="1710" w:type="dxa"/>
            <w:tcBorders>
              <w:top w:val="double" w:sz="4" w:space="0" w:color="auto"/>
            </w:tcBorders>
          </w:tcPr>
          <w:p w:rsidR="00367B16" w:rsidRDefault="00F05308" w:rsidP="000D4C5F">
            <w:r>
              <w:t>Maintains a CA delegated by one of the Trusted STI-CAs</w:t>
            </w:r>
          </w:p>
          <w:p w:rsidR="00F7730C" w:rsidRDefault="00F7730C" w:rsidP="000D4C5F">
            <w:r>
              <w:t>Must keep TNAuth list within scope of owned TNs</w:t>
            </w:r>
            <w:r w:rsidR="006B4D03">
              <w:t xml:space="preserve"> for all delegated certs</w:t>
            </w:r>
            <w:r w:rsidR="00455319">
              <w:t>.</w:t>
            </w:r>
          </w:p>
        </w:tc>
        <w:tc>
          <w:tcPr>
            <w:tcW w:w="1350" w:type="dxa"/>
            <w:tcBorders>
              <w:top w:val="double" w:sz="4" w:space="0" w:color="auto"/>
            </w:tcBorders>
          </w:tcPr>
          <w:p w:rsidR="00367B16" w:rsidRDefault="00F05308" w:rsidP="00745DE5">
            <w:r>
              <w:t>M</w:t>
            </w:r>
            <w:r w:rsidR="00745DE5">
              <w:t>ay need to</w:t>
            </w:r>
            <w:r>
              <w:t xml:space="preserve"> handle multiple SIP Identity header fields</w:t>
            </w:r>
          </w:p>
          <w:p w:rsidR="00745DE5" w:rsidRDefault="00455319" w:rsidP="00455319">
            <w:r>
              <w:t>N</w:t>
            </w:r>
            <w:r w:rsidR="00745DE5">
              <w:t xml:space="preserve">eed to trust </w:t>
            </w:r>
            <w:r>
              <w:t>that originators are protecting their private keys.</w:t>
            </w:r>
          </w:p>
        </w:tc>
        <w:tc>
          <w:tcPr>
            <w:tcW w:w="1530" w:type="dxa"/>
            <w:tcBorders>
              <w:top w:val="double" w:sz="4" w:space="0" w:color="auto"/>
            </w:tcBorders>
          </w:tcPr>
          <w:p w:rsidR="00367B16" w:rsidRDefault="00730A16" w:rsidP="00730A16">
            <w:r>
              <w:t>Signer should</w:t>
            </w:r>
            <w:r w:rsidR="00455319">
              <w:t xml:space="preserve"> use a delegated cert</w:t>
            </w:r>
            <w:r>
              <w:t xml:space="preserve"> in each call provided by the correct TNSP owner for the TN.</w:t>
            </w:r>
          </w:p>
          <w:p w:rsidR="00730A16" w:rsidRDefault="00455319" w:rsidP="00455319">
            <w:r>
              <w:t>Stakeholders may see cert</w:t>
            </w:r>
            <w:r w:rsidR="00730A16">
              <w:t xml:space="preserve">s used without proper ownership alignment until </w:t>
            </w:r>
            <w:r>
              <w:t xml:space="preserve">delegate cert </w:t>
            </w:r>
            <w:r w:rsidR="00730A16">
              <w:t>expiry.</w:t>
            </w:r>
          </w:p>
        </w:tc>
        <w:tc>
          <w:tcPr>
            <w:tcW w:w="1800" w:type="dxa"/>
            <w:tcBorders>
              <w:top w:val="double" w:sz="4" w:space="0" w:color="auto"/>
            </w:tcBorders>
          </w:tcPr>
          <w:p w:rsidR="00730A16" w:rsidRDefault="00730A16" w:rsidP="000D4C5F">
            <w:r>
              <w:t xml:space="preserve">Multi-homed PBX &amp; UCaaS, </w:t>
            </w:r>
          </w:p>
          <w:p w:rsidR="00730A16" w:rsidRDefault="00730A16" w:rsidP="000D4C5F">
            <w:r>
              <w:t>Contact Ctr and CCaaS,</w:t>
            </w:r>
          </w:p>
          <w:p w:rsidR="00367B16" w:rsidRDefault="00730A16" w:rsidP="000D4C5F">
            <w:r>
              <w:t>CPaaS,</w:t>
            </w:r>
          </w:p>
          <w:p w:rsidR="00730A16" w:rsidRDefault="00730A16" w:rsidP="000D4C5F">
            <w:r>
              <w:t>OTT-PSTN calls,</w:t>
            </w:r>
          </w:p>
          <w:p w:rsidR="00F7730C" w:rsidRDefault="00F7730C" w:rsidP="000D4C5F">
            <w:r>
              <w:t>Interconnected VoiP calls,</w:t>
            </w:r>
          </w:p>
          <w:p w:rsidR="00F7730C" w:rsidRDefault="00F7730C" w:rsidP="00F7730C">
            <w:r>
              <w:t>Wholesale traffic</w:t>
            </w:r>
          </w:p>
        </w:tc>
      </w:tr>
      <w:tr w:rsidR="000D4C5F" w:rsidTr="00455319">
        <w:tc>
          <w:tcPr>
            <w:tcW w:w="1525" w:type="dxa"/>
          </w:tcPr>
          <w:p w:rsidR="00367B16" w:rsidRDefault="00367B16" w:rsidP="000D4C5F">
            <w:pPr>
              <w:pStyle w:val="Heading2"/>
              <w:numPr>
                <w:ilvl w:val="0"/>
                <w:numId w:val="0"/>
              </w:numPr>
              <w:outlineLvl w:val="1"/>
              <w:rPr>
                <w:b w:val="0"/>
                <w:i w:val="0"/>
                <w:sz w:val="20"/>
              </w:rPr>
            </w:pPr>
            <w:r>
              <w:rPr>
                <w:b w:val="0"/>
                <w:i w:val="0"/>
                <w:sz w:val="20"/>
              </w:rPr>
              <w:lastRenderedPageBreak/>
              <w:t>LEMON Twist</w:t>
            </w:r>
          </w:p>
          <w:p w:rsidR="00723100" w:rsidRPr="00723100" w:rsidRDefault="00723100" w:rsidP="00723100">
            <w:r>
              <w:t>(certs provided by an STI-CA using TNSP authority token)</w:t>
            </w:r>
          </w:p>
          <w:p w:rsidR="00367B16" w:rsidRDefault="00367B16" w:rsidP="000D4C5F"/>
        </w:tc>
        <w:tc>
          <w:tcPr>
            <w:tcW w:w="1535" w:type="dxa"/>
          </w:tcPr>
          <w:p w:rsidR="00367B16" w:rsidRDefault="00F05308" w:rsidP="00455319">
            <w:pPr>
              <w:jc w:val="left"/>
            </w:pPr>
            <w:r>
              <w:t xml:space="preserve">Optionally, </w:t>
            </w:r>
            <w:r w:rsidR="00455319">
              <w:t>introduce</w:t>
            </w:r>
            <w:r>
              <w:t xml:space="preserve"> a </w:t>
            </w:r>
            <w:r w:rsidR="00455319">
              <w:t xml:space="preserve">new </w:t>
            </w:r>
            <w:r>
              <w:t xml:space="preserve">value for A’ </w:t>
            </w:r>
            <w:r w:rsidR="00730A16">
              <w:t>attestation field</w:t>
            </w:r>
          </w:p>
        </w:tc>
        <w:tc>
          <w:tcPr>
            <w:tcW w:w="1525" w:type="dxa"/>
          </w:tcPr>
          <w:p w:rsidR="00367B16" w:rsidRDefault="00455319" w:rsidP="000D4C5F">
            <w:r>
              <w:t>Same as delegated certs mechanism above</w:t>
            </w:r>
          </w:p>
        </w:tc>
        <w:tc>
          <w:tcPr>
            <w:tcW w:w="1715" w:type="dxa"/>
          </w:tcPr>
          <w:p w:rsidR="00367B16" w:rsidRDefault="00F05308" w:rsidP="00723100">
            <w:r>
              <w:t>Obtains certificate per SHAKEN procedures</w:t>
            </w:r>
            <w:r w:rsidR="00723100">
              <w:t xml:space="preserve"> from an approved CA</w:t>
            </w:r>
            <w:r>
              <w:t xml:space="preserve">, using </w:t>
            </w:r>
            <w:r w:rsidR="00723100">
              <w:t xml:space="preserve">an authority </w:t>
            </w:r>
            <w:r>
              <w:t xml:space="preserve">token </w:t>
            </w:r>
            <w:r w:rsidR="00723100">
              <w:t>provided</w:t>
            </w:r>
            <w:r>
              <w:t xml:space="preserve"> by TNSP</w:t>
            </w:r>
          </w:p>
        </w:tc>
        <w:tc>
          <w:tcPr>
            <w:tcW w:w="1710" w:type="dxa"/>
          </w:tcPr>
          <w:p w:rsidR="00367B16" w:rsidRDefault="00FB4458" w:rsidP="000D4C5F">
            <w:pPr>
              <w:jc w:val="left"/>
            </w:pPr>
            <w:r>
              <w:t>Maintains TN assignment to</w:t>
            </w:r>
            <w:r w:rsidR="00F05308">
              <w:t xml:space="preserve"> EIDs </w:t>
            </w:r>
            <w:r w:rsidR="00913C29">
              <w:t xml:space="preserve">for the upstream entity </w:t>
            </w:r>
            <w:r w:rsidR="00F05308">
              <w:t xml:space="preserve">and </w:t>
            </w:r>
            <w:r w:rsidR="00913C29">
              <w:t xml:space="preserve">provides them </w:t>
            </w:r>
            <w:r w:rsidR="00F05308">
              <w:t>SPC tokens</w:t>
            </w:r>
            <w:r w:rsidR="00913C29">
              <w:t xml:space="preserve"> to authorize certificate requests</w:t>
            </w:r>
            <w:r w:rsidR="00DF12EF">
              <w:t xml:space="preserve"> from an STI-CA</w:t>
            </w:r>
          </w:p>
        </w:tc>
        <w:tc>
          <w:tcPr>
            <w:tcW w:w="1350" w:type="dxa"/>
          </w:tcPr>
          <w:p w:rsidR="00367B16" w:rsidRDefault="00455319" w:rsidP="000D4C5F">
            <w:pPr>
              <w:jc w:val="left"/>
            </w:pPr>
            <w:r>
              <w:t>Same as delegated certs mechanism above</w:t>
            </w:r>
          </w:p>
        </w:tc>
        <w:tc>
          <w:tcPr>
            <w:tcW w:w="1530" w:type="dxa"/>
          </w:tcPr>
          <w:p w:rsidR="00367B16" w:rsidRDefault="00455319" w:rsidP="000D4C5F">
            <w:pPr>
              <w:jc w:val="left"/>
            </w:pPr>
            <w:r>
              <w:t>Same as delegated certs mechanism above</w:t>
            </w:r>
          </w:p>
        </w:tc>
        <w:tc>
          <w:tcPr>
            <w:tcW w:w="1800" w:type="dxa"/>
          </w:tcPr>
          <w:p w:rsidR="00367B16" w:rsidRDefault="00455319" w:rsidP="000D4C5F">
            <w:pPr>
              <w:jc w:val="left"/>
            </w:pPr>
            <w:r>
              <w:t>Same as delegated certs mechanism above</w:t>
            </w:r>
          </w:p>
        </w:tc>
      </w:tr>
      <w:tr w:rsidR="000D4C5F" w:rsidTr="00455319">
        <w:tc>
          <w:tcPr>
            <w:tcW w:w="1525" w:type="dxa"/>
          </w:tcPr>
          <w:p w:rsidR="00367B16" w:rsidRDefault="00367B16" w:rsidP="000D4C5F">
            <w:r>
              <w:rPr>
                <w:bCs/>
              </w:rPr>
              <w:t>Administrative Plane</w:t>
            </w:r>
          </w:p>
        </w:tc>
        <w:tc>
          <w:tcPr>
            <w:tcW w:w="1535" w:type="dxa"/>
          </w:tcPr>
          <w:p w:rsidR="00367B16" w:rsidRDefault="00367B16" w:rsidP="000D4C5F">
            <w:pPr>
              <w:jc w:val="left"/>
            </w:pPr>
          </w:p>
        </w:tc>
        <w:tc>
          <w:tcPr>
            <w:tcW w:w="1525" w:type="dxa"/>
          </w:tcPr>
          <w:p w:rsidR="00367B16" w:rsidRDefault="00367B16" w:rsidP="000D4C5F">
            <w:pPr>
              <w:jc w:val="left"/>
            </w:pPr>
          </w:p>
        </w:tc>
        <w:tc>
          <w:tcPr>
            <w:tcW w:w="1715" w:type="dxa"/>
          </w:tcPr>
          <w:p w:rsidR="00367B16" w:rsidRDefault="00367B16" w:rsidP="000D4C5F">
            <w:pPr>
              <w:jc w:val="left"/>
            </w:pPr>
          </w:p>
        </w:tc>
        <w:tc>
          <w:tcPr>
            <w:tcW w:w="1710" w:type="dxa"/>
          </w:tcPr>
          <w:p w:rsidR="00367B16" w:rsidRDefault="00367B16" w:rsidP="000D4C5F">
            <w:pPr>
              <w:jc w:val="left"/>
            </w:pPr>
          </w:p>
        </w:tc>
        <w:tc>
          <w:tcPr>
            <w:tcW w:w="1350" w:type="dxa"/>
          </w:tcPr>
          <w:p w:rsidR="00367B16" w:rsidRDefault="00367B16" w:rsidP="000D4C5F">
            <w:pPr>
              <w:jc w:val="left"/>
            </w:pPr>
          </w:p>
        </w:tc>
        <w:tc>
          <w:tcPr>
            <w:tcW w:w="1530" w:type="dxa"/>
          </w:tcPr>
          <w:p w:rsidR="00367B16" w:rsidRDefault="00367B16" w:rsidP="000D4C5F">
            <w:pPr>
              <w:jc w:val="left"/>
            </w:pPr>
          </w:p>
        </w:tc>
        <w:tc>
          <w:tcPr>
            <w:tcW w:w="1800" w:type="dxa"/>
          </w:tcPr>
          <w:p w:rsidR="00367B16" w:rsidRDefault="00367B16" w:rsidP="000D4C5F">
            <w:pPr>
              <w:jc w:val="left"/>
            </w:pPr>
          </w:p>
        </w:tc>
      </w:tr>
      <w:tr w:rsidR="000D4C5F" w:rsidTr="00455319">
        <w:tc>
          <w:tcPr>
            <w:tcW w:w="1525" w:type="dxa"/>
          </w:tcPr>
          <w:p w:rsidR="00367B16" w:rsidRDefault="00367B16" w:rsidP="000D4C5F">
            <w:pPr>
              <w:rPr>
                <w:bCs/>
              </w:rPr>
            </w:pPr>
          </w:p>
          <w:p w:rsidR="00367B16" w:rsidRDefault="00367B16" w:rsidP="000D4C5F">
            <w:r>
              <w:rPr>
                <w:bCs/>
              </w:rPr>
              <w:t>TBD 1</w:t>
            </w:r>
          </w:p>
        </w:tc>
        <w:tc>
          <w:tcPr>
            <w:tcW w:w="1535" w:type="dxa"/>
          </w:tcPr>
          <w:p w:rsidR="00367B16" w:rsidRDefault="00367B16" w:rsidP="000D4C5F">
            <w:pPr>
              <w:jc w:val="left"/>
            </w:pPr>
          </w:p>
        </w:tc>
        <w:tc>
          <w:tcPr>
            <w:tcW w:w="1525" w:type="dxa"/>
          </w:tcPr>
          <w:p w:rsidR="00367B16" w:rsidRDefault="00367B16" w:rsidP="000D4C5F">
            <w:pPr>
              <w:jc w:val="left"/>
            </w:pPr>
          </w:p>
        </w:tc>
        <w:tc>
          <w:tcPr>
            <w:tcW w:w="1715" w:type="dxa"/>
          </w:tcPr>
          <w:p w:rsidR="00367B16" w:rsidRDefault="00367B16" w:rsidP="000D4C5F">
            <w:pPr>
              <w:jc w:val="left"/>
            </w:pPr>
          </w:p>
        </w:tc>
        <w:tc>
          <w:tcPr>
            <w:tcW w:w="1710" w:type="dxa"/>
          </w:tcPr>
          <w:p w:rsidR="00367B16" w:rsidRDefault="00367B16" w:rsidP="000D4C5F">
            <w:pPr>
              <w:jc w:val="left"/>
            </w:pPr>
          </w:p>
        </w:tc>
        <w:tc>
          <w:tcPr>
            <w:tcW w:w="1350" w:type="dxa"/>
          </w:tcPr>
          <w:p w:rsidR="00367B16" w:rsidRDefault="00367B16" w:rsidP="000D4C5F">
            <w:pPr>
              <w:tabs>
                <w:tab w:val="num" w:pos="1440"/>
              </w:tabs>
              <w:jc w:val="left"/>
            </w:pPr>
          </w:p>
        </w:tc>
        <w:tc>
          <w:tcPr>
            <w:tcW w:w="1530" w:type="dxa"/>
          </w:tcPr>
          <w:p w:rsidR="00367B16" w:rsidRDefault="00367B16" w:rsidP="000D4C5F">
            <w:pPr>
              <w:tabs>
                <w:tab w:val="num" w:pos="1440"/>
              </w:tabs>
              <w:jc w:val="left"/>
            </w:pPr>
          </w:p>
        </w:tc>
        <w:tc>
          <w:tcPr>
            <w:tcW w:w="1800" w:type="dxa"/>
          </w:tcPr>
          <w:p w:rsidR="00367B16" w:rsidRDefault="00367B16" w:rsidP="000D4C5F">
            <w:pPr>
              <w:tabs>
                <w:tab w:val="num" w:pos="1440"/>
              </w:tabs>
              <w:jc w:val="left"/>
            </w:pPr>
          </w:p>
        </w:tc>
      </w:tr>
      <w:tr w:rsidR="000D4C5F" w:rsidTr="00455319">
        <w:tc>
          <w:tcPr>
            <w:tcW w:w="1525" w:type="dxa"/>
          </w:tcPr>
          <w:p w:rsidR="00367B16" w:rsidRDefault="00367B16" w:rsidP="000D4C5F">
            <w:pPr>
              <w:jc w:val="left"/>
            </w:pPr>
            <w:r>
              <w:t>TBD 2</w:t>
            </w:r>
          </w:p>
        </w:tc>
        <w:tc>
          <w:tcPr>
            <w:tcW w:w="1535" w:type="dxa"/>
          </w:tcPr>
          <w:p w:rsidR="00367B16" w:rsidRDefault="00367B16" w:rsidP="000D4C5F">
            <w:pPr>
              <w:jc w:val="left"/>
            </w:pPr>
          </w:p>
        </w:tc>
        <w:tc>
          <w:tcPr>
            <w:tcW w:w="1525" w:type="dxa"/>
          </w:tcPr>
          <w:p w:rsidR="00367B16" w:rsidRDefault="00367B16" w:rsidP="000D4C5F"/>
        </w:tc>
        <w:tc>
          <w:tcPr>
            <w:tcW w:w="1715" w:type="dxa"/>
          </w:tcPr>
          <w:p w:rsidR="00367B16" w:rsidRDefault="00367B16" w:rsidP="000D4C5F"/>
        </w:tc>
        <w:tc>
          <w:tcPr>
            <w:tcW w:w="1710" w:type="dxa"/>
          </w:tcPr>
          <w:p w:rsidR="00367B16" w:rsidRDefault="00367B16" w:rsidP="000D4C5F">
            <w:pPr>
              <w:jc w:val="left"/>
            </w:pPr>
          </w:p>
        </w:tc>
        <w:tc>
          <w:tcPr>
            <w:tcW w:w="1350" w:type="dxa"/>
          </w:tcPr>
          <w:p w:rsidR="00367B16" w:rsidRDefault="00367B16" w:rsidP="000D4C5F">
            <w:pPr>
              <w:jc w:val="left"/>
            </w:pPr>
          </w:p>
        </w:tc>
        <w:tc>
          <w:tcPr>
            <w:tcW w:w="1530" w:type="dxa"/>
          </w:tcPr>
          <w:p w:rsidR="00367B16" w:rsidRDefault="00367B16" w:rsidP="000D4C5F">
            <w:pPr>
              <w:jc w:val="left"/>
            </w:pPr>
          </w:p>
        </w:tc>
        <w:tc>
          <w:tcPr>
            <w:tcW w:w="1800" w:type="dxa"/>
          </w:tcPr>
          <w:p w:rsidR="00367B16" w:rsidRDefault="00367B16" w:rsidP="000D4C5F">
            <w:pPr>
              <w:jc w:val="left"/>
            </w:pPr>
          </w:p>
        </w:tc>
      </w:tr>
    </w:tbl>
    <w:p w:rsidR="00AB0C81" w:rsidRDefault="00AB0C81" w:rsidP="004B443F">
      <w:pPr>
        <w:sectPr w:rsidR="00AB0C81" w:rsidSect="00AB0C81">
          <w:headerReference w:type="first" r:id="rId19"/>
          <w:pgSz w:w="15840" w:h="12240" w:orient="landscape" w:code="1"/>
          <w:pgMar w:top="1080" w:right="1080" w:bottom="1080" w:left="1080" w:header="720" w:footer="720" w:gutter="0"/>
          <w:pgNumType w:start="1"/>
          <w:cols w:space="720"/>
          <w:titlePg/>
          <w:docGrid w:linePitch="360"/>
        </w:sectPr>
      </w:pPr>
    </w:p>
    <w:p w:rsidR="001F2162" w:rsidRPr="004B443F" w:rsidRDefault="001F2162" w:rsidP="004B443F"/>
    <w:sectPr w:rsidR="001F2162" w:rsidRPr="004B443F">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CAE60" w16cid:durableId="20EC5C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98" w:rsidRDefault="00D60998">
      <w:r>
        <w:separator/>
      </w:r>
    </w:p>
  </w:endnote>
  <w:endnote w:type="continuationSeparator" w:id="0">
    <w:p w:rsidR="00D60998" w:rsidRDefault="00D6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pPr>
      <w:pStyle w:val="Footer"/>
      <w:jc w:val="center"/>
    </w:pPr>
    <w:r>
      <w:rPr>
        <w:rStyle w:val="PageNumber"/>
      </w:rPr>
      <w:fldChar w:fldCharType="begin"/>
    </w:r>
    <w:r>
      <w:rPr>
        <w:rStyle w:val="PageNumber"/>
      </w:rPr>
      <w:instrText xml:space="preserve"> PAGE </w:instrText>
    </w:r>
    <w:r>
      <w:rPr>
        <w:rStyle w:val="PageNumber"/>
      </w:rPr>
      <w:fldChar w:fldCharType="separate"/>
    </w:r>
    <w:r w:rsidR="00BB5A1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pPr>
      <w:pStyle w:val="Footer"/>
      <w:jc w:val="center"/>
    </w:pPr>
    <w:r>
      <w:rPr>
        <w:rStyle w:val="PageNumber"/>
      </w:rPr>
      <w:fldChar w:fldCharType="begin"/>
    </w:r>
    <w:r>
      <w:rPr>
        <w:rStyle w:val="PageNumber"/>
      </w:rPr>
      <w:instrText xml:space="preserve"> PAGE </w:instrText>
    </w:r>
    <w:r>
      <w:rPr>
        <w:rStyle w:val="PageNumber"/>
      </w:rPr>
      <w:fldChar w:fldCharType="separate"/>
    </w:r>
    <w:r w:rsidR="00BB5A1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98" w:rsidRDefault="00D60998">
      <w:r>
        <w:separator/>
      </w:r>
    </w:p>
  </w:footnote>
  <w:footnote w:type="continuationSeparator" w:id="0">
    <w:p w:rsidR="00D60998" w:rsidRDefault="00D6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p w:rsidR="000D4C5F" w:rsidRDefault="000D4C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Pr="00D82162" w:rsidRDefault="000D4C5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Pr="00BC47C9" w:rsidRDefault="000D4C5F">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D4C5F" w:rsidRPr="00BC47C9" w:rsidRDefault="000D4C5F">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D4C5F" w:rsidRPr="00BC47C9" w:rsidRDefault="000D4C5F">
    <w:pPr>
      <w:pStyle w:val="BANNER1"/>
      <w:spacing w:before="120"/>
      <w:rPr>
        <w:rFonts w:ascii="Arial" w:hAnsi="Arial" w:cs="Arial"/>
        <w:sz w:val="24"/>
      </w:rPr>
    </w:pPr>
  </w:p>
  <w:p w:rsidR="000D4C5F" w:rsidRDefault="000D4C5F" w:rsidP="00802F70">
    <w:pPr>
      <w:ind w:right="-288"/>
      <w:jc w:val="center"/>
      <w:outlineLvl w:val="0"/>
      <w:rPr>
        <w:rFonts w:cs="Arial"/>
        <w:b/>
        <w:bCs/>
        <w:iCs/>
        <w:sz w:val="36"/>
      </w:rPr>
    </w:pPr>
    <w:r>
      <w:rPr>
        <w:rFonts w:cs="Arial"/>
        <w:b/>
        <w:bCs/>
        <w:iCs/>
        <w:sz w:val="36"/>
      </w:rPr>
      <w:t xml:space="preserve">Study of Full Attestation Alternatives </w:t>
    </w:r>
  </w:p>
  <w:p w:rsidR="000D4C5F" w:rsidRDefault="000D4C5F" w:rsidP="00802F70">
    <w:pPr>
      <w:ind w:right="-288"/>
      <w:jc w:val="center"/>
      <w:outlineLvl w:val="0"/>
      <w:rPr>
        <w:rFonts w:cs="Arial"/>
        <w:b/>
        <w:bCs/>
        <w:iCs/>
        <w:sz w:val="36"/>
      </w:rPr>
    </w:pPr>
    <w:r>
      <w:rPr>
        <w:rFonts w:cs="Arial"/>
        <w:b/>
        <w:bCs/>
        <w:iCs/>
        <w:sz w:val="36"/>
      </w:rPr>
      <w:t xml:space="preserve">for Enterprises and Business Entities </w:t>
    </w:r>
  </w:p>
  <w:p w:rsidR="000D4C5F" w:rsidRDefault="000D4C5F" w:rsidP="00802F70">
    <w:pPr>
      <w:ind w:right="-288"/>
      <w:jc w:val="center"/>
      <w:outlineLvl w:val="0"/>
      <w:rPr>
        <w:rFonts w:cs="Arial"/>
        <w:b/>
        <w:bCs/>
        <w:iCs/>
        <w:sz w:val="36"/>
      </w:rPr>
    </w:pPr>
    <w:r>
      <w:rPr>
        <w:rFonts w:cs="Arial"/>
        <w:b/>
        <w:bCs/>
        <w:iCs/>
        <w:sz w:val="36"/>
      </w:rPr>
      <w:t>with Multi-Homing and Other Arrangements</w:t>
    </w:r>
  </w:p>
  <w:p w:rsidR="000D4C5F" w:rsidRDefault="000D4C5F" w:rsidP="009B1325">
    <w:pPr>
      <w:ind w:right="-288"/>
      <w:jc w:val="center"/>
      <w:outlineLvl w:val="0"/>
      <w:rPr>
        <w:rFonts w:cs="Arial"/>
        <w:b/>
        <w:bCs/>
        <w:iCs/>
        <w:sz w:val="36"/>
      </w:rPr>
    </w:pPr>
  </w:p>
  <w:p w:rsidR="000D4C5F" w:rsidRPr="00BC47C9" w:rsidRDefault="000D4C5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Pr="00BC47C9" w:rsidRDefault="000D4C5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2"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8"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9"/>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3"/>
  </w:num>
  <w:num w:numId="14">
    <w:abstractNumId w:val="28"/>
  </w:num>
  <w:num w:numId="15">
    <w:abstractNumId w:val="31"/>
  </w:num>
  <w:num w:numId="16">
    <w:abstractNumId w:val="24"/>
  </w:num>
  <w:num w:numId="17">
    <w:abstractNumId w:val="29"/>
  </w:num>
  <w:num w:numId="18">
    <w:abstractNumId w:val="9"/>
  </w:num>
  <w:num w:numId="19">
    <w:abstractNumId w:val="26"/>
  </w:num>
  <w:num w:numId="20">
    <w:abstractNumId w:val="11"/>
  </w:num>
  <w:num w:numId="21">
    <w:abstractNumId w:val="19"/>
  </w:num>
  <w:num w:numId="22">
    <w:abstractNumId w:val="23"/>
  </w:num>
  <w:num w:numId="23">
    <w:abstractNumId w:val="15"/>
  </w:num>
  <w:num w:numId="24">
    <w:abstractNumId w:val="30"/>
  </w:num>
  <w:num w:numId="25">
    <w:abstractNumId w:val="17"/>
  </w:num>
  <w:num w:numId="26">
    <w:abstractNumId w:val="34"/>
  </w:num>
  <w:num w:numId="27">
    <w:abstractNumId w:val="14"/>
  </w:num>
  <w:num w:numId="28">
    <w:abstractNumId w:val="32"/>
  </w:num>
  <w:num w:numId="29">
    <w:abstractNumId w:val="16"/>
  </w:num>
  <w:num w:numId="30">
    <w:abstractNumId w:val="35"/>
  </w:num>
  <w:num w:numId="31">
    <w:abstractNumId w:val="27"/>
  </w:num>
  <w:num w:numId="32">
    <w:abstractNumId w:val="18"/>
  </w:num>
  <w:num w:numId="33">
    <w:abstractNumId w:val="37"/>
  </w:num>
  <w:num w:numId="34">
    <w:abstractNumId w:val="33"/>
  </w:num>
  <w:num w:numId="35">
    <w:abstractNumId w:val="12"/>
  </w:num>
  <w:num w:numId="36">
    <w:abstractNumId w:val="10"/>
  </w:num>
  <w:num w:numId="37">
    <w:abstractNumId w:val="40"/>
  </w:num>
  <w:num w:numId="38">
    <w:abstractNumId w:val="22"/>
  </w:num>
  <w:num w:numId="39">
    <w:abstractNumId w:val="21"/>
  </w:num>
  <w:num w:numId="40">
    <w:abstractNumId w:val="30"/>
  </w:num>
  <w:num w:numId="41">
    <w:abstractNumId w:val="38"/>
  </w:num>
  <w:num w:numId="4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70EE"/>
    <w:rsid w:val="000458E5"/>
    <w:rsid w:val="00046AA9"/>
    <w:rsid w:val="00047051"/>
    <w:rsid w:val="000536D7"/>
    <w:rsid w:val="00085F6B"/>
    <w:rsid w:val="00096BD0"/>
    <w:rsid w:val="000A2280"/>
    <w:rsid w:val="000A6B98"/>
    <w:rsid w:val="000C3137"/>
    <w:rsid w:val="000D3768"/>
    <w:rsid w:val="000D4C5F"/>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70602"/>
    <w:rsid w:val="00172552"/>
    <w:rsid w:val="0017497E"/>
    <w:rsid w:val="00176097"/>
    <w:rsid w:val="00180921"/>
    <w:rsid w:val="0018254B"/>
    <w:rsid w:val="001839DA"/>
    <w:rsid w:val="00186D0D"/>
    <w:rsid w:val="00190EA3"/>
    <w:rsid w:val="00196A38"/>
    <w:rsid w:val="001A0C5E"/>
    <w:rsid w:val="001A0CA4"/>
    <w:rsid w:val="001A2312"/>
    <w:rsid w:val="001A5B24"/>
    <w:rsid w:val="001B10BB"/>
    <w:rsid w:val="001D130F"/>
    <w:rsid w:val="001D174B"/>
    <w:rsid w:val="001D692B"/>
    <w:rsid w:val="001E0B44"/>
    <w:rsid w:val="001E0E6D"/>
    <w:rsid w:val="001F0181"/>
    <w:rsid w:val="001F2162"/>
    <w:rsid w:val="001F44A6"/>
    <w:rsid w:val="00201D24"/>
    <w:rsid w:val="002054B7"/>
    <w:rsid w:val="002061F2"/>
    <w:rsid w:val="00213B79"/>
    <w:rsid w:val="002142D1"/>
    <w:rsid w:val="0021710E"/>
    <w:rsid w:val="00217324"/>
    <w:rsid w:val="00225AFD"/>
    <w:rsid w:val="0022741F"/>
    <w:rsid w:val="002314A5"/>
    <w:rsid w:val="00234D7C"/>
    <w:rsid w:val="00241017"/>
    <w:rsid w:val="00246F92"/>
    <w:rsid w:val="00251148"/>
    <w:rsid w:val="002551CD"/>
    <w:rsid w:val="002603C6"/>
    <w:rsid w:val="00267226"/>
    <w:rsid w:val="00276AC2"/>
    <w:rsid w:val="00283C92"/>
    <w:rsid w:val="002A14C4"/>
    <w:rsid w:val="002A23E3"/>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1629"/>
    <w:rsid w:val="00327AA6"/>
    <w:rsid w:val="00327DE4"/>
    <w:rsid w:val="00335008"/>
    <w:rsid w:val="00335BF2"/>
    <w:rsid w:val="0034049E"/>
    <w:rsid w:val="00350758"/>
    <w:rsid w:val="0035227C"/>
    <w:rsid w:val="0036140D"/>
    <w:rsid w:val="00361D59"/>
    <w:rsid w:val="0036237D"/>
    <w:rsid w:val="00363B8E"/>
    <w:rsid w:val="00363EC5"/>
    <w:rsid w:val="00367B16"/>
    <w:rsid w:val="00382EB4"/>
    <w:rsid w:val="0038413A"/>
    <w:rsid w:val="003872D4"/>
    <w:rsid w:val="003935E8"/>
    <w:rsid w:val="003936A6"/>
    <w:rsid w:val="003A1E21"/>
    <w:rsid w:val="003B1002"/>
    <w:rsid w:val="003B502C"/>
    <w:rsid w:val="003B53C7"/>
    <w:rsid w:val="003C473B"/>
    <w:rsid w:val="003C496F"/>
    <w:rsid w:val="003C4D16"/>
    <w:rsid w:val="003D549D"/>
    <w:rsid w:val="003E1CF7"/>
    <w:rsid w:val="003E5255"/>
    <w:rsid w:val="003E7EF6"/>
    <w:rsid w:val="003F351D"/>
    <w:rsid w:val="003F4AFA"/>
    <w:rsid w:val="003F4DC3"/>
    <w:rsid w:val="00405F6D"/>
    <w:rsid w:val="004066B5"/>
    <w:rsid w:val="00411C80"/>
    <w:rsid w:val="00411C9C"/>
    <w:rsid w:val="00424016"/>
    <w:rsid w:val="00424AF1"/>
    <w:rsid w:val="0044253F"/>
    <w:rsid w:val="00445904"/>
    <w:rsid w:val="0044704D"/>
    <w:rsid w:val="00447333"/>
    <w:rsid w:val="00455319"/>
    <w:rsid w:val="004677A8"/>
    <w:rsid w:val="0047089D"/>
    <w:rsid w:val="0047144E"/>
    <w:rsid w:val="00472D6C"/>
    <w:rsid w:val="0048096A"/>
    <w:rsid w:val="00481D06"/>
    <w:rsid w:val="00485B7E"/>
    <w:rsid w:val="00485C5E"/>
    <w:rsid w:val="004903B1"/>
    <w:rsid w:val="00495EF3"/>
    <w:rsid w:val="004A3781"/>
    <w:rsid w:val="004A7FB8"/>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DA4"/>
    <w:rsid w:val="00515003"/>
    <w:rsid w:val="005204C6"/>
    <w:rsid w:val="005253E2"/>
    <w:rsid w:val="00532B36"/>
    <w:rsid w:val="005376CA"/>
    <w:rsid w:val="0054467F"/>
    <w:rsid w:val="00556EF0"/>
    <w:rsid w:val="0056580E"/>
    <w:rsid w:val="0056584F"/>
    <w:rsid w:val="0057013D"/>
    <w:rsid w:val="00572688"/>
    <w:rsid w:val="00575195"/>
    <w:rsid w:val="005775E7"/>
    <w:rsid w:val="0058281A"/>
    <w:rsid w:val="0058670A"/>
    <w:rsid w:val="00590C1B"/>
    <w:rsid w:val="005943DF"/>
    <w:rsid w:val="00595EB6"/>
    <w:rsid w:val="005A043E"/>
    <w:rsid w:val="005A72FD"/>
    <w:rsid w:val="005B0CFB"/>
    <w:rsid w:val="005B28EE"/>
    <w:rsid w:val="005B4651"/>
    <w:rsid w:val="005B4A7C"/>
    <w:rsid w:val="005B70EE"/>
    <w:rsid w:val="005D0532"/>
    <w:rsid w:val="005D1A0F"/>
    <w:rsid w:val="005E0DD8"/>
    <w:rsid w:val="005E2425"/>
    <w:rsid w:val="005E51D9"/>
    <w:rsid w:val="005F4807"/>
    <w:rsid w:val="00607140"/>
    <w:rsid w:val="0061319A"/>
    <w:rsid w:val="006170B5"/>
    <w:rsid w:val="00617419"/>
    <w:rsid w:val="00623525"/>
    <w:rsid w:val="00624701"/>
    <w:rsid w:val="006247A7"/>
    <w:rsid w:val="00637FC7"/>
    <w:rsid w:val="00646215"/>
    <w:rsid w:val="006546A7"/>
    <w:rsid w:val="0065728F"/>
    <w:rsid w:val="006622E8"/>
    <w:rsid w:val="00662462"/>
    <w:rsid w:val="00662ED4"/>
    <w:rsid w:val="00665B65"/>
    <w:rsid w:val="00685DA1"/>
    <w:rsid w:val="006861CA"/>
    <w:rsid w:val="00686C71"/>
    <w:rsid w:val="00693649"/>
    <w:rsid w:val="00694E97"/>
    <w:rsid w:val="0069667B"/>
    <w:rsid w:val="00697C54"/>
    <w:rsid w:val="006A0FE6"/>
    <w:rsid w:val="006A30B3"/>
    <w:rsid w:val="006A3A05"/>
    <w:rsid w:val="006A73B6"/>
    <w:rsid w:val="006B3469"/>
    <w:rsid w:val="006B3D26"/>
    <w:rsid w:val="006B4D03"/>
    <w:rsid w:val="006C2096"/>
    <w:rsid w:val="006C756C"/>
    <w:rsid w:val="006D2CFE"/>
    <w:rsid w:val="006F12CE"/>
    <w:rsid w:val="007037DF"/>
    <w:rsid w:val="00707F8A"/>
    <w:rsid w:val="00721020"/>
    <w:rsid w:val="00722DDB"/>
    <w:rsid w:val="00723100"/>
    <w:rsid w:val="00723E25"/>
    <w:rsid w:val="00725F68"/>
    <w:rsid w:val="00727502"/>
    <w:rsid w:val="00730A16"/>
    <w:rsid w:val="00731019"/>
    <w:rsid w:val="00733334"/>
    <w:rsid w:val="00735B16"/>
    <w:rsid w:val="00737358"/>
    <w:rsid w:val="00737D7A"/>
    <w:rsid w:val="00741574"/>
    <w:rsid w:val="00745DE5"/>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B5F84"/>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6254"/>
    <w:rsid w:val="00807625"/>
    <w:rsid w:val="00810FD5"/>
    <w:rsid w:val="00813E13"/>
    <w:rsid w:val="00814212"/>
    <w:rsid w:val="00814A7A"/>
    <w:rsid w:val="008150A7"/>
    <w:rsid w:val="00817727"/>
    <w:rsid w:val="00823B8B"/>
    <w:rsid w:val="00825581"/>
    <w:rsid w:val="008315A4"/>
    <w:rsid w:val="00840B1F"/>
    <w:rsid w:val="008413A3"/>
    <w:rsid w:val="00856C90"/>
    <w:rsid w:val="00862C4F"/>
    <w:rsid w:val="00875DE3"/>
    <w:rsid w:val="008776FE"/>
    <w:rsid w:val="0088100C"/>
    <w:rsid w:val="008818F4"/>
    <w:rsid w:val="0088552D"/>
    <w:rsid w:val="00893DD9"/>
    <w:rsid w:val="008A7203"/>
    <w:rsid w:val="008B2FE0"/>
    <w:rsid w:val="008B69BB"/>
    <w:rsid w:val="008B7D90"/>
    <w:rsid w:val="008C516B"/>
    <w:rsid w:val="008C6C0B"/>
    <w:rsid w:val="008C7F58"/>
    <w:rsid w:val="008D54F1"/>
    <w:rsid w:val="008E0A45"/>
    <w:rsid w:val="008E53DA"/>
    <w:rsid w:val="008E59AE"/>
    <w:rsid w:val="008E759C"/>
    <w:rsid w:val="008F46A1"/>
    <w:rsid w:val="009029B7"/>
    <w:rsid w:val="009101F1"/>
    <w:rsid w:val="00913C29"/>
    <w:rsid w:val="009158B8"/>
    <w:rsid w:val="00921170"/>
    <w:rsid w:val="00923DF0"/>
    <w:rsid w:val="00930CEE"/>
    <w:rsid w:val="009314E6"/>
    <w:rsid w:val="0093432D"/>
    <w:rsid w:val="00942256"/>
    <w:rsid w:val="00943BDD"/>
    <w:rsid w:val="00943F8F"/>
    <w:rsid w:val="00954277"/>
    <w:rsid w:val="00962CD1"/>
    <w:rsid w:val="0096497C"/>
    <w:rsid w:val="00967BB8"/>
    <w:rsid w:val="00972B46"/>
    <w:rsid w:val="00973372"/>
    <w:rsid w:val="00973B8A"/>
    <w:rsid w:val="009756C5"/>
    <w:rsid w:val="00977E0B"/>
    <w:rsid w:val="00982BE4"/>
    <w:rsid w:val="00982F55"/>
    <w:rsid w:val="00983B2D"/>
    <w:rsid w:val="00984812"/>
    <w:rsid w:val="00987D79"/>
    <w:rsid w:val="00991BF9"/>
    <w:rsid w:val="009920E1"/>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DA5"/>
    <w:rsid w:val="009E5CBF"/>
    <w:rsid w:val="009F6220"/>
    <w:rsid w:val="00A00928"/>
    <w:rsid w:val="00A018A7"/>
    <w:rsid w:val="00A04AFF"/>
    <w:rsid w:val="00A104ED"/>
    <w:rsid w:val="00A15714"/>
    <w:rsid w:val="00A22224"/>
    <w:rsid w:val="00A317B2"/>
    <w:rsid w:val="00A449C6"/>
    <w:rsid w:val="00A57D75"/>
    <w:rsid w:val="00A60632"/>
    <w:rsid w:val="00A60CA0"/>
    <w:rsid w:val="00A73098"/>
    <w:rsid w:val="00A731F4"/>
    <w:rsid w:val="00A83E44"/>
    <w:rsid w:val="00A90E78"/>
    <w:rsid w:val="00A967DA"/>
    <w:rsid w:val="00AA2A20"/>
    <w:rsid w:val="00AA3B67"/>
    <w:rsid w:val="00AA5CA4"/>
    <w:rsid w:val="00AA6E11"/>
    <w:rsid w:val="00AA76DF"/>
    <w:rsid w:val="00AB0C81"/>
    <w:rsid w:val="00AB4FB7"/>
    <w:rsid w:val="00AC0003"/>
    <w:rsid w:val="00AC1DE8"/>
    <w:rsid w:val="00AC5313"/>
    <w:rsid w:val="00AD6967"/>
    <w:rsid w:val="00AD6EB0"/>
    <w:rsid w:val="00AD7DEE"/>
    <w:rsid w:val="00AD7F98"/>
    <w:rsid w:val="00B03642"/>
    <w:rsid w:val="00B06A4C"/>
    <w:rsid w:val="00B06E1F"/>
    <w:rsid w:val="00B12142"/>
    <w:rsid w:val="00B13F18"/>
    <w:rsid w:val="00B162F3"/>
    <w:rsid w:val="00B17248"/>
    <w:rsid w:val="00B177AA"/>
    <w:rsid w:val="00B203C0"/>
    <w:rsid w:val="00B20870"/>
    <w:rsid w:val="00B23C58"/>
    <w:rsid w:val="00B24A3A"/>
    <w:rsid w:val="00B276BA"/>
    <w:rsid w:val="00B334CB"/>
    <w:rsid w:val="00B3439B"/>
    <w:rsid w:val="00B41311"/>
    <w:rsid w:val="00B46975"/>
    <w:rsid w:val="00B50698"/>
    <w:rsid w:val="00B55C21"/>
    <w:rsid w:val="00B55F83"/>
    <w:rsid w:val="00B57440"/>
    <w:rsid w:val="00B61D19"/>
    <w:rsid w:val="00B81C33"/>
    <w:rsid w:val="00B829E8"/>
    <w:rsid w:val="00B86A6C"/>
    <w:rsid w:val="00B86CCE"/>
    <w:rsid w:val="00B95C5A"/>
    <w:rsid w:val="00B96AF5"/>
    <w:rsid w:val="00BA01C3"/>
    <w:rsid w:val="00BA3FB0"/>
    <w:rsid w:val="00BB5A13"/>
    <w:rsid w:val="00BC47C9"/>
    <w:rsid w:val="00BC47D8"/>
    <w:rsid w:val="00BC4E30"/>
    <w:rsid w:val="00BC7BFD"/>
    <w:rsid w:val="00BD1664"/>
    <w:rsid w:val="00BD4BD4"/>
    <w:rsid w:val="00BD50D5"/>
    <w:rsid w:val="00BE265D"/>
    <w:rsid w:val="00BE6D04"/>
    <w:rsid w:val="00BF1D21"/>
    <w:rsid w:val="00BF1EFD"/>
    <w:rsid w:val="00BF7878"/>
    <w:rsid w:val="00C04483"/>
    <w:rsid w:val="00C079FC"/>
    <w:rsid w:val="00C11329"/>
    <w:rsid w:val="00C1188A"/>
    <w:rsid w:val="00C129E7"/>
    <w:rsid w:val="00C16C8A"/>
    <w:rsid w:val="00C16FCC"/>
    <w:rsid w:val="00C2083A"/>
    <w:rsid w:val="00C24731"/>
    <w:rsid w:val="00C2526B"/>
    <w:rsid w:val="00C308A6"/>
    <w:rsid w:val="00C3142C"/>
    <w:rsid w:val="00C31F96"/>
    <w:rsid w:val="00C4025E"/>
    <w:rsid w:val="00C44F39"/>
    <w:rsid w:val="00C47AEA"/>
    <w:rsid w:val="00C51DE3"/>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2C9"/>
    <w:rsid w:val="00CC34DD"/>
    <w:rsid w:val="00CC5E75"/>
    <w:rsid w:val="00CD2E94"/>
    <w:rsid w:val="00CD3950"/>
    <w:rsid w:val="00CE641C"/>
    <w:rsid w:val="00CF599D"/>
    <w:rsid w:val="00D06987"/>
    <w:rsid w:val="00D1159A"/>
    <w:rsid w:val="00D16FE6"/>
    <w:rsid w:val="00D223CB"/>
    <w:rsid w:val="00D22AA9"/>
    <w:rsid w:val="00D247F3"/>
    <w:rsid w:val="00D253E4"/>
    <w:rsid w:val="00D2587E"/>
    <w:rsid w:val="00D2664A"/>
    <w:rsid w:val="00D26E22"/>
    <w:rsid w:val="00D3348A"/>
    <w:rsid w:val="00D45216"/>
    <w:rsid w:val="00D50286"/>
    <w:rsid w:val="00D50927"/>
    <w:rsid w:val="00D55782"/>
    <w:rsid w:val="00D60998"/>
    <w:rsid w:val="00D70422"/>
    <w:rsid w:val="00D7514D"/>
    <w:rsid w:val="00D804B0"/>
    <w:rsid w:val="00D82162"/>
    <w:rsid w:val="00D8772E"/>
    <w:rsid w:val="00D91AC2"/>
    <w:rsid w:val="00D9274C"/>
    <w:rsid w:val="00DA13FE"/>
    <w:rsid w:val="00DA4AE3"/>
    <w:rsid w:val="00DB1041"/>
    <w:rsid w:val="00DB3455"/>
    <w:rsid w:val="00DB3B15"/>
    <w:rsid w:val="00DB3FAC"/>
    <w:rsid w:val="00DC2165"/>
    <w:rsid w:val="00DC2E79"/>
    <w:rsid w:val="00DC5A33"/>
    <w:rsid w:val="00DC602C"/>
    <w:rsid w:val="00DD5463"/>
    <w:rsid w:val="00DE0467"/>
    <w:rsid w:val="00DE7466"/>
    <w:rsid w:val="00DF12EF"/>
    <w:rsid w:val="00DF2FE8"/>
    <w:rsid w:val="00DF4EBE"/>
    <w:rsid w:val="00DF6F0A"/>
    <w:rsid w:val="00DF79ED"/>
    <w:rsid w:val="00DF7B7D"/>
    <w:rsid w:val="00E0525F"/>
    <w:rsid w:val="00E05F8B"/>
    <w:rsid w:val="00E12461"/>
    <w:rsid w:val="00E33407"/>
    <w:rsid w:val="00E65F76"/>
    <w:rsid w:val="00E6723C"/>
    <w:rsid w:val="00E7006B"/>
    <w:rsid w:val="00E7130A"/>
    <w:rsid w:val="00E732BE"/>
    <w:rsid w:val="00E839EE"/>
    <w:rsid w:val="00E93C35"/>
    <w:rsid w:val="00E956EA"/>
    <w:rsid w:val="00E96150"/>
    <w:rsid w:val="00EA47AD"/>
    <w:rsid w:val="00EB273B"/>
    <w:rsid w:val="00EB3740"/>
    <w:rsid w:val="00EB4863"/>
    <w:rsid w:val="00ED0081"/>
    <w:rsid w:val="00ED3BB8"/>
    <w:rsid w:val="00EE286F"/>
    <w:rsid w:val="00EE4F2F"/>
    <w:rsid w:val="00EE7BDA"/>
    <w:rsid w:val="00EF1740"/>
    <w:rsid w:val="00EF51B5"/>
    <w:rsid w:val="00EF59B6"/>
    <w:rsid w:val="00F00C84"/>
    <w:rsid w:val="00F05308"/>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1304"/>
    <w:rsid w:val="00F72F38"/>
    <w:rsid w:val="00F7730C"/>
    <w:rsid w:val="00F77B96"/>
    <w:rsid w:val="00F81EF0"/>
    <w:rsid w:val="00F864CA"/>
    <w:rsid w:val="00F9422A"/>
    <w:rsid w:val="00F946BC"/>
    <w:rsid w:val="00FA3521"/>
    <w:rsid w:val="00FA4570"/>
    <w:rsid w:val="00FA62C5"/>
    <w:rsid w:val="00FB4458"/>
    <w:rsid w:val="00FC148B"/>
    <w:rsid w:val="00FC4B0D"/>
    <w:rsid w:val="00FC6C42"/>
    <w:rsid w:val="00FD1FA3"/>
    <w:rsid w:val="00FD4CC6"/>
    <w:rsid w:val="00FE03C6"/>
    <w:rsid w:val="00FE10FC"/>
    <w:rsid w:val="00FE7533"/>
    <w:rsid w:val="00FE78B0"/>
    <w:rsid w:val="00FF24CE"/>
    <w:rsid w:val="00FF44BA"/>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D08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2AC4-B060-413B-8E8E-63D73C76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15581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3</cp:revision>
  <cp:lastPrinted>2019-08-01T19:47:00Z</cp:lastPrinted>
  <dcterms:created xsi:type="dcterms:W3CDTF">2019-08-05T20:59:00Z</dcterms:created>
  <dcterms:modified xsi:type="dcterms:W3CDTF">2019-08-05T21:02:00Z</dcterms:modified>
  <cp:category/>
</cp:coreProperties>
</file>