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displacedByCustomXml="next"/>
    <w:bookmarkStart w:id="11" w:name="_Toc48741692" w:displacedByCustomXml="next"/>
    <w:bookmarkStart w:id="12" w:name="_Toc48741750" w:displacedByCustomXml="next"/>
    <w:bookmarkStart w:id="13" w:name="_Toc48742190" w:displacedByCustomXml="next"/>
    <w:bookmarkStart w:id="14" w:name="_Toc48742216" w:displacedByCustomXml="next"/>
    <w:bookmarkStart w:id="15" w:name="_Toc48742242" w:displacedByCustomXml="next"/>
    <w:bookmarkStart w:id="16" w:name="_Toc48742267" w:displacedByCustomXml="next"/>
    <w:bookmarkStart w:id="17" w:name="_Toc48742350" w:displacedByCustomXml="next"/>
    <w:bookmarkStart w:id="18" w:name="_Toc48742550" w:displacedByCustomXml="next"/>
    <w:bookmarkStart w:id="19" w:name="_Toc48743169" w:displacedByCustomXml="next"/>
    <w:bookmarkStart w:id="20" w:name="_Toc48743221" w:displacedByCustomXml="next"/>
    <w:bookmarkStart w:id="21" w:name="_Toc48743252" w:displacedByCustomXml="next"/>
    <w:bookmarkStart w:id="22" w:name="_Toc48743361" w:displacedByCustomXml="next"/>
    <w:bookmarkStart w:id="23" w:name="_Toc48743426" w:displacedByCustomXml="next"/>
    <w:bookmarkStart w:id="24" w:name="_Toc48743550" w:displacedByCustomXml="next"/>
    <w:bookmarkStart w:id="25" w:name="_Toc48743626" w:displacedByCustomXml="next"/>
    <w:bookmarkStart w:id="26" w:name="_Toc48743656" w:displacedByCustomXml="next"/>
    <w:bookmarkStart w:id="27" w:name="_Toc48743832" w:displacedByCustomXml="next"/>
    <w:bookmarkStart w:id="28" w:name="_Toc48743888" w:displacedByCustomXml="next"/>
    <w:bookmarkStart w:id="29" w:name="_Toc48743927" w:displacedByCustomXml="next"/>
    <w:bookmarkStart w:id="30" w:name="_Toc48743957" w:displacedByCustomXml="next"/>
    <w:bookmarkStart w:id="31" w:name="_Toc48744022" w:displacedByCustomXml="next"/>
    <w:bookmarkStart w:id="32" w:name="_Toc48744060" w:displacedByCustomXml="next"/>
    <w:bookmarkStart w:id="33" w:name="_Toc48744090" w:displacedByCustomXml="next"/>
    <w:bookmarkStart w:id="34" w:name="_Toc48744141" w:displacedByCustomXml="next"/>
    <w:bookmarkStart w:id="35" w:name="_Toc48744261" w:displacedByCustomXml="next"/>
    <w:bookmarkStart w:id="36" w:name="_Toc48744941" w:displacedByCustomXml="next"/>
    <w:bookmarkStart w:id="37" w:name="_Toc48745052" w:displacedByCustomXml="next"/>
    <w:bookmarkStart w:id="38" w:name="_Toc48745177" w:displacedByCustomXml="next"/>
    <w:bookmarkStart w:id="39"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131DD577"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CE1B6D">
              <w:rPr>
                <w:noProof/>
                <w:webHidden/>
              </w:rPr>
              <w:t>i</w:t>
            </w:r>
            <w:r w:rsidR="00CE1B6D">
              <w:rPr>
                <w:noProof/>
                <w:webHidden/>
              </w:rPr>
              <w:fldChar w:fldCharType="end"/>
            </w:r>
          </w:hyperlink>
        </w:p>
        <w:p w14:paraId="0241B3E1" w14:textId="099DDA82" w:rsidR="00CE1B6D" w:rsidRDefault="00CE1B6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Pr="00B42149">
              <w:rPr>
                <w:rStyle w:val="Hyperlink"/>
                <w:noProof/>
              </w:rPr>
              <w:t>ATIS Standard on</w:t>
            </w:r>
            <w:r>
              <w:rPr>
                <w:noProof/>
                <w:webHidden/>
              </w:rPr>
              <w:tab/>
            </w:r>
            <w:r>
              <w:rPr>
                <w:noProof/>
                <w:webHidden/>
              </w:rPr>
              <w:fldChar w:fldCharType="begin"/>
            </w:r>
            <w:r>
              <w:rPr>
                <w:noProof/>
                <w:webHidden/>
              </w:rPr>
              <w:instrText xml:space="preserve"> PAGEREF _Toc11424212 \h </w:instrText>
            </w:r>
            <w:r>
              <w:rPr>
                <w:noProof/>
                <w:webHidden/>
              </w:rPr>
            </w:r>
            <w:r>
              <w:rPr>
                <w:noProof/>
                <w:webHidden/>
              </w:rPr>
              <w:fldChar w:fldCharType="separate"/>
            </w:r>
            <w:r>
              <w:rPr>
                <w:noProof/>
                <w:webHidden/>
              </w:rPr>
              <w:t>i</w:t>
            </w:r>
            <w:r>
              <w:rPr>
                <w:noProof/>
                <w:webHidden/>
              </w:rPr>
              <w:fldChar w:fldCharType="end"/>
            </w:r>
          </w:hyperlink>
        </w:p>
        <w:p w14:paraId="2D9E5FEF" w14:textId="45C5B327" w:rsidR="00CE1B6D" w:rsidRDefault="00CE1B6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Pr="00B42149">
              <w:rPr>
                <w:rStyle w:val="Hyperlink"/>
                <w:rFonts w:cs="Arial"/>
                <w:iCs/>
                <w:noProof/>
              </w:rPr>
              <w:t>Considerations for Cross-Border Signature-based Handling of Asserted information using toKENs (SHAKEN)</w:t>
            </w:r>
            <w:r>
              <w:rPr>
                <w:noProof/>
                <w:webHidden/>
              </w:rPr>
              <w:tab/>
            </w:r>
            <w:r>
              <w:rPr>
                <w:noProof/>
                <w:webHidden/>
              </w:rPr>
              <w:fldChar w:fldCharType="begin"/>
            </w:r>
            <w:r>
              <w:rPr>
                <w:noProof/>
                <w:webHidden/>
              </w:rPr>
              <w:instrText xml:space="preserve"> PAGEREF _Toc11424213 \h </w:instrText>
            </w:r>
            <w:r>
              <w:rPr>
                <w:noProof/>
                <w:webHidden/>
              </w:rPr>
            </w:r>
            <w:r>
              <w:rPr>
                <w:noProof/>
                <w:webHidden/>
              </w:rPr>
              <w:fldChar w:fldCharType="separate"/>
            </w:r>
            <w:r>
              <w:rPr>
                <w:noProof/>
                <w:webHidden/>
              </w:rPr>
              <w:t>i</w:t>
            </w:r>
            <w:r>
              <w:rPr>
                <w:noProof/>
                <w:webHidden/>
              </w:rPr>
              <w:fldChar w:fldCharType="end"/>
            </w:r>
          </w:hyperlink>
        </w:p>
        <w:p w14:paraId="2FD31936" w14:textId="29E1B4F4" w:rsidR="00CE1B6D" w:rsidRDefault="00CE1B6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Pr="00B42149">
              <w:rPr>
                <w:rStyle w:val="Hyperlink"/>
                <w:noProof/>
              </w:rPr>
              <w:t>Alliance for Telecommunications Industry Solutions</w:t>
            </w:r>
            <w:r>
              <w:rPr>
                <w:noProof/>
                <w:webHidden/>
              </w:rPr>
              <w:tab/>
            </w:r>
            <w:r>
              <w:rPr>
                <w:noProof/>
                <w:webHidden/>
              </w:rPr>
              <w:fldChar w:fldCharType="begin"/>
            </w:r>
            <w:r>
              <w:rPr>
                <w:noProof/>
                <w:webHidden/>
              </w:rPr>
              <w:instrText xml:space="preserve"> PAGEREF _Toc11424214 \h </w:instrText>
            </w:r>
            <w:r>
              <w:rPr>
                <w:noProof/>
                <w:webHidden/>
              </w:rPr>
            </w:r>
            <w:r>
              <w:rPr>
                <w:noProof/>
                <w:webHidden/>
              </w:rPr>
              <w:fldChar w:fldCharType="separate"/>
            </w:r>
            <w:r>
              <w:rPr>
                <w:noProof/>
                <w:webHidden/>
              </w:rPr>
              <w:t>i</w:t>
            </w:r>
            <w:r>
              <w:rPr>
                <w:noProof/>
                <w:webHidden/>
              </w:rPr>
              <w:fldChar w:fldCharType="end"/>
            </w:r>
          </w:hyperlink>
        </w:p>
        <w:p w14:paraId="507AFEBD" w14:textId="2C369AB2" w:rsidR="00CE1B6D" w:rsidRDefault="00CE1B6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Pr="00B42149">
              <w:rPr>
                <w:rStyle w:val="Hyperlink"/>
                <w:noProof/>
              </w:rPr>
              <w:t>Abstract</w:t>
            </w:r>
            <w:r>
              <w:rPr>
                <w:noProof/>
                <w:webHidden/>
              </w:rPr>
              <w:tab/>
            </w:r>
            <w:r>
              <w:rPr>
                <w:noProof/>
                <w:webHidden/>
              </w:rPr>
              <w:fldChar w:fldCharType="begin"/>
            </w:r>
            <w:r>
              <w:rPr>
                <w:noProof/>
                <w:webHidden/>
              </w:rPr>
              <w:instrText xml:space="preserve"> PAGEREF _Toc11424215 \h </w:instrText>
            </w:r>
            <w:r>
              <w:rPr>
                <w:noProof/>
                <w:webHidden/>
              </w:rPr>
            </w:r>
            <w:r>
              <w:rPr>
                <w:noProof/>
                <w:webHidden/>
              </w:rPr>
              <w:fldChar w:fldCharType="separate"/>
            </w:r>
            <w:r>
              <w:rPr>
                <w:noProof/>
                <w:webHidden/>
              </w:rPr>
              <w:t>i</w:t>
            </w:r>
            <w:r>
              <w:rPr>
                <w:noProof/>
                <w:webHidden/>
              </w:rPr>
              <w:fldChar w:fldCharType="end"/>
            </w:r>
          </w:hyperlink>
        </w:p>
        <w:p w14:paraId="198B7580" w14:textId="7803812B" w:rsidR="00CE1B6D" w:rsidRDefault="00CE1B6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16" w:history="1">
            <w:r w:rsidRPr="00B42149">
              <w:rPr>
                <w:rStyle w:val="Hyperlink"/>
                <w:noProof/>
              </w:rPr>
              <w:t>1</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Scope, Purpose, &amp; Application</w:t>
            </w:r>
            <w:r>
              <w:rPr>
                <w:noProof/>
                <w:webHidden/>
              </w:rPr>
              <w:tab/>
            </w:r>
            <w:r>
              <w:rPr>
                <w:noProof/>
                <w:webHidden/>
              </w:rPr>
              <w:fldChar w:fldCharType="begin"/>
            </w:r>
            <w:r>
              <w:rPr>
                <w:noProof/>
                <w:webHidden/>
              </w:rPr>
              <w:instrText xml:space="preserve"> PAGEREF _Toc11424216 \h </w:instrText>
            </w:r>
            <w:r>
              <w:rPr>
                <w:noProof/>
                <w:webHidden/>
              </w:rPr>
            </w:r>
            <w:r>
              <w:rPr>
                <w:noProof/>
                <w:webHidden/>
              </w:rPr>
              <w:fldChar w:fldCharType="separate"/>
            </w:r>
            <w:r>
              <w:rPr>
                <w:noProof/>
                <w:webHidden/>
              </w:rPr>
              <w:t>1</w:t>
            </w:r>
            <w:r>
              <w:rPr>
                <w:noProof/>
                <w:webHidden/>
              </w:rPr>
              <w:fldChar w:fldCharType="end"/>
            </w:r>
          </w:hyperlink>
        </w:p>
        <w:p w14:paraId="16276500" w14:textId="34FAF889"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7" w:history="1">
            <w:r w:rsidRPr="00B42149">
              <w:rPr>
                <w:rStyle w:val="Hyperlink"/>
                <w:noProof/>
              </w:rPr>
              <w:t>1.1</w:t>
            </w:r>
            <w:r>
              <w:rPr>
                <w:rFonts w:asciiTheme="minorHAnsi" w:eastAsiaTheme="minorEastAsia" w:hAnsiTheme="minorHAnsi" w:cstheme="minorBidi"/>
                <w:smallCaps w:val="0"/>
                <w:noProof/>
                <w:sz w:val="22"/>
                <w:szCs w:val="22"/>
                <w:lang w:val="en-CA" w:eastAsia="en-CA"/>
              </w:rPr>
              <w:tab/>
            </w:r>
            <w:r w:rsidRPr="00B42149">
              <w:rPr>
                <w:rStyle w:val="Hyperlink"/>
                <w:noProof/>
              </w:rPr>
              <w:t>Scope</w:t>
            </w:r>
            <w:r>
              <w:rPr>
                <w:noProof/>
                <w:webHidden/>
              </w:rPr>
              <w:tab/>
            </w:r>
            <w:r>
              <w:rPr>
                <w:noProof/>
                <w:webHidden/>
              </w:rPr>
              <w:fldChar w:fldCharType="begin"/>
            </w:r>
            <w:r>
              <w:rPr>
                <w:noProof/>
                <w:webHidden/>
              </w:rPr>
              <w:instrText xml:space="preserve"> PAGEREF _Toc11424217 \h </w:instrText>
            </w:r>
            <w:r>
              <w:rPr>
                <w:noProof/>
                <w:webHidden/>
              </w:rPr>
            </w:r>
            <w:r>
              <w:rPr>
                <w:noProof/>
                <w:webHidden/>
              </w:rPr>
              <w:fldChar w:fldCharType="separate"/>
            </w:r>
            <w:r>
              <w:rPr>
                <w:noProof/>
                <w:webHidden/>
              </w:rPr>
              <w:t>1</w:t>
            </w:r>
            <w:r>
              <w:rPr>
                <w:noProof/>
                <w:webHidden/>
              </w:rPr>
              <w:fldChar w:fldCharType="end"/>
            </w:r>
          </w:hyperlink>
        </w:p>
        <w:p w14:paraId="005A7F01" w14:textId="05779F1F"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8" w:history="1">
            <w:r w:rsidRPr="00B42149">
              <w:rPr>
                <w:rStyle w:val="Hyperlink"/>
                <w:noProof/>
              </w:rPr>
              <w:t>1.2</w:t>
            </w:r>
            <w:r>
              <w:rPr>
                <w:rFonts w:asciiTheme="minorHAnsi" w:eastAsiaTheme="minorEastAsia" w:hAnsiTheme="minorHAnsi" w:cstheme="minorBidi"/>
                <w:smallCaps w:val="0"/>
                <w:noProof/>
                <w:sz w:val="22"/>
                <w:szCs w:val="22"/>
                <w:lang w:val="en-CA" w:eastAsia="en-CA"/>
              </w:rPr>
              <w:tab/>
            </w:r>
            <w:r w:rsidRPr="00B42149">
              <w:rPr>
                <w:rStyle w:val="Hyperlink"/>
                <w:noProof/>
              </w:rPr>
              <w:t>Purpose</w:t>
            </w:r>
            <w:r>
              <w:rPr>
                <w:noProof/>
                <w:webHidden/>
              </w:rPr>
              <w:tab/>
            </w:r>
            <w:r>
              <w:rPr>
                <w:noProof/>
                <w:webHidden/>
              </w:rPr>
              <w:fldChar w:fldCharType="begin"/>
            </w:r>
            <w:r>
              <w:rPr>
                <w:noProof/>
                <w:webHidden/>
              </w:rPr>
              <w:instrText xml:space="preserve"> PAGEREF _Toc11424218 \h </w:instrText>
            </w:r>
            <w:r>
              <w:rPr>
                <w:noProof/>
                <w:webHidden/>
              </w:rPr>
            </w:r>
            <w:r>
              <w:rPr>
                <w:noProof/>
                <w:webHidden/>
              </w:rPr>
              <w:fldChar w:fldCharType="separate"/>
            </w:r>
            <w:r>
              <w:rPr>
                <w:noProof/>
                <w:webHidden/>
              </w:rPr>
              <w:t>1</w:t>
            </w:r>
            <w:r>
              <w:rPr>
                <w:noProof/>
                <w:webHidden/>
              </w:rPr>
              <w:fldChar w:fldCharType="end"/>
            </w:r>
          </w:hyperlink>
        </w:p>
        <w:p w14:paraId="2AC70036" w14:textId="2B2FAA3E"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19" w:history="1">
            <w:r w:rsidRPr="00B42149">
              <w:rPr>
                <w:rStyle w:val="Hyperlink"/>
                <w:noProof/>
              </w:rPr>
              <w:t>1.3</w:t>
            </w:r>
            <w:r>
              <w:rPr>
                <w:rFonts w:asciiTheme="minorHAnsi" w:eastAsiaTheme="minorEastAsia" w:hAnsiTheme="minorHAnsi" w:cstheme="minorBidi"/>
                <w:smallCaps w:val="0"/>
                <w:noProof/>
                <w:sz w:val="22"/>
                <w:szCs w:val="22"/>
                <w:lang w:val="en-CA" w:eastAsia="en-CA"/>
              </w:rPr>
              <w:tab/>
            </w:r>
            <w:r w:rsidRPr="00B42149">
              <w:rPr>
                <w:rStyle w:val="Hyperlink"/>
                <w:noProof/>
              </w:rPr>
              <w:t>Application</w:t>
            </w:r>
            <w:r>
              <w:rPr>
                <w:noProof/>
                <w:webHidden/>
              </w:rPr>
              <w:tab/>
            </w:r>
            <w:r>
              <w:rPr>
                <w:noProof/>
                <w:webHidden/>
              </w:rPr>
              <w:fldChar w:fldCharType="begin"/>
            </w:r>
            <w:r>
              <w:rPr>
                <w:noProof/>
                <w:webHidden/>
              </w:rPr>
              <w:instrText xml:space="preserve"> PAGEREF _Toc11424219 \h </w:instrText>
            </w:r>
            <w:r>
              <w:rPr>
                <w:noProof/>
                <w:webHidden/>
              </w:rPr>
            </w:r>
            <w:r>
              <w:rPr>
                <w:noProof/>
                <w:webHidden/>
              </w:rPr>
              <w:fldChar w:fldCharType="separate"/>
            </w:r>
            <w:r>
              <w:rPr>
                <w:noProof/>
                <w:webHidden/>
              </w:rPr>
              <w:t>1</w:t>
            </w:r>
            <w:r>
              <w:rPr>
                <w:noProof/>
                <w:webHidden/>
              </w:rPr>
              <w:fldChar w:fldCharType="end"/>
            </w:r>
          </w:hyperlink>
        </w:p>
        <w:p w14:paraId="2F5FEFF6" w14:textId="6E5981D8" w:rsidR="00CE1B6D" w:rsidRDefault="00CE1B6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0" w:history="1">
            <w:r w:rsidRPr="00B42149">
              <w:rPr>
                <w:rStyle w:val="Hyperlink"/>
                <w:noProof/>
              </w:rPr>
              <w:t>2</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Normative References</w:t>
            </w:r>
            <w:r>
              <w:rPr>
                <w:noProof/>
                <w:webHidden/>
              </w:rPr>
              <w:tab/>
            </w:r>
            <w:r>
              <w:rPr>
                <w:noProof/>
                <w:webHidden/>
              </w:rPr>
              <w:fldChar w:fldCharType="begin"/>
            </w:r>
            <w:r>
              <w:rPr>
                <w:noProof/>
                <w:webHidden/>
              </w:rPr>
              <w:instrText xml:space="preserve"> PAGEREF _Toc11424220 \h </w:instrText>
            </w:r>
            <w:r>
              <w:rPr>
                <w:noProof/>
                <w:webHidden/>
              </w:rPr>
            </w:r>
            <w:r>
              <w:rPr>
                <w:noProof/>
                <w:webHidden/>
              </w:rPr>
              <w:fldChar w:fldCharType="separate"/>
            </w:r>
            <w:r>
              <w:rPr>
                <w:noProof/>
                <w:webHidden/>
              </w:rPr>
              <w:t>1</w:t>
            </w:r>
            <w:r>
              <w:rPr>
                <w:noProof/>
                <w:webHidden/>
              </w:rPr>
              <w:fldChar w:fldCharType="end"/>
            </w:r>
          </w:hyperlink>
        </w:p>
        <w:p w14:paraId="0E857827" w14:textId="3A5E0D1C" w:rsidR="00CE1B6D" w:rsidRDefault="00CE1B6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Pr="00B42149">
              <w:rPr>
                <w:rStyle w:val="Hyperlink"/>
                <w:noProof/>
              </w:rPr>
              <w:t>3</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Definitions, Acronyms, &amp; Abbreviations</w:t>
            </w:r>
            <w:r>
              <w:rPr>
                <w:noProof/>
                <w:webHidden/>
              </w:rPr>
              <w:tab/>
            </w:r>
            <w:r>
              <w:rPr>
                <w:noProof/>
                <w:webHidden/>
              </w:rPr>
              <w:fldChar w:fldCharType="begin"/>
            </w:r>
            <w:r>
              <w:rPr>
                <w:noProof/>
                <w:webHidden/>
              </w:rPr>
              <w:instrText xml:space="preserve"> PAGEREF _Toc11424221 \h </w:instrText>
            </w:r>
            <w:r>
              <w:rPr>
                <w:noProof/>
                <w:webHidden/>
              </w:rPr>
            </w:r>
            <w:r>
              <w:rPr>
                <w:noProof/>
                <w:webHidden/>
              </w:rPr>
              <w:fldChar w:fldCharType="separate"/>
            </w:r>
            <w:r>
              <w:rPr>
                <w:noProof/>
                <w:webHidden/>
              </w:rPr>
              <w:t>2</w:t>
            </w:r>
            <w:r>
              <w:rPr>
                <w:noProof/>
                <w:webHidden/>
              </w:rPr>
              <w:fldChar w:fldCharType="end"/>
            </w:r>
          </w:hyperlink>
        </w:p>
        <w:p w14:paraId="315F2418" w14:textId="5B34D14C"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Pr="00B42149">
              <w:rPr>
                <w:rStyle w:val="Hyperlink"/>
                <w:noProof/>
              </w:rPr>
              <w:t>3.1</w:t>
            </w:r>
            <w:r>
              <w:rPr>
                <w:rFonts w:asciiTheme="minorHAnsi" w:eastAsiaTheme="minorEastAsia" w:hAnsiTheme="minorHAnsi" w:cstheme="minorBidi"/>
                <w:smallCaps w:val="0"/>
                <w:noProof/>
                <w:sz w:val="22"/>
                <w:szCs w:val="22"/>
                <w:lang w:val="en-CA" w:eastAsia="en-CA"/>
              </w:rPr>
              <w:tab/>
            </w:r>
            <w:r w:rsidRPr="00B42149">
              <w:rPr>
                <w:rStyle w:val="Hyperlink"/>
                <w:noProof/>
              </w:rPr>
              <w:t>Definitions</w:t>
            </w:r>
            <w:r>
              <w:rPr>
                <w:noProof/>
                <w:webHidden/>
              </w:rPr>
              <w:tab/>
            </w:r>
            <w:r>
              <w:rPr>
                <w:noProof/>
                <w:webHidden/>
              </w:rPr>
              <w:fldChar w:fldCharType="begin"/>
            </w:r>
            <w:r>
              <w:rPr>
                <w:noProof/>
                <w:webHidden/>
              </w:rPr>
              <w:instrText xml:space="preserve"> PAGEREF _Toc11424222 \h </w:instrText>
            </w:r>
            <w:r>
              <w:rPr>
                <w:noProof/>
                <w:webHidden/>
              </w:rPr>
            </w:r>
            <w:r>
              <w:rPr>
                <w:noProof/>
                <w:webHidden/>
              </w:rPr>
              <w:fldChar w:fldCharType="separate"/>
            </w:r>
            <w:r>
              <w:rPr>
                <w:noProof/>
                <w:webHidden/>
              </w:rPr>
              <w:t>2</w:t>
            </w:r>
            <w:r>
              <w:rPr>
                <w:noProof/>
                <w:webHidden/>
              </w:rPr>
              <w:fldChar w:fldCharType="end"/>
            </w:r>
          </w:hyperlink>
        </w:p>
        <w:p w14:paraId="29F881D7" w14:textId="35B268B3"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Pr="00B42149">
              <w:rPr>
                <w:rStyle w:val="Hyperlink"/>
                <w:noProof/>
              </w:rPr>
              <w:t>3.2</w:t>
            </w:r>
            <w:r>
              <w:rPr>
                <w:rFonts w:asciiTheme="minorHAnsi" w:eastAsiaTheme="minorEastAsia" w:hAnsiTheme="minorHAnsi" w:cstheme="minorBidi"/>
                <w:smallCaps w:val="0"/>
                <w:noProof/>
                <w:sz w:val="22"/>
                <w:szCs w:val="22"/>
                <w:lang w:val="en-CA" w:eastAsia="en-CA"/>
              </w:rPr>
              <w:tab/>
            </w:r>
            <w:r w:rsidRPr="00B42149">
              <w:rPr>
                <w:rStyle w:val="Hyperlink"/>
                <w:noProof/>
              </w:rPr>
              <w:t>Acronyms &amp; Abbreviations</w:t>
            </w:r>
            <w:r>
              <w:rPr>
                <w:noProof/>
                <w:webHidden/>
              </w:rPr>
              <w:tab/>
            </w:r>
            <w:r>
              <w:rPr>
                <w:noProof/>
                <w:webHidden/>
              </w:rPr>
              <w:fldChar w:fldCharType="begin"/>
            </w:r>
            <w:r>
              <w:rPr>
                <w:noProof/>
                <w:webHidden/>
              </w:rPr>
              <w:instrText xml:space="preserve"> PAGEREF _Toc11424223 \h </w:instrText>
            </w:r>
            <w:r>
              <w:rPr>
                <w:noProof/>
                <w:webHidden/>
              </w:rPr>
            </w:r>
            <w:r>
              <w:rPr>
                <w:noProof/>
                <w:webHidden/>
              </w:rPr>
              <w:fldChar w:fldCharType="separate"/>
            </w:r>
            <w:r>
              <w:rPr>
                <w:noProof/>
                <w:webHidden/>
              </w:rPr>
              <w:t>2</w:t>
            </w:r>
            <w:r>
              <w:rPr>
                <w:noProof/>
                <w:webHidden/>
              </w:rPr>
              <w:fldChar w:fldCharType="end"/>
            </w:r>
          </w:hyperlink>
        </w:p>
        <w:p w14:paraId="3D99D5C5" w14:textId="1EB10139" w:rsidR="00CE1B6D" w:rsidRDefault="00CE1B6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4" w:history="1">
            <w:r w:rsidRPr="00B42149">
              <w:rPr>
                <w:rStyle w:val="Hyperlink"/>
                <w:noProof/>
              </w:rPr>
              <w:t>4</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Overview</w:t>
            </w:r>
            <w:r>
              <w:rPr>
                <w:noProof/>
                <w:webHidden/>
              </w:rPr>
              <w:tab/>
            </w:r>
            <w:r>
              <w:rPr>
                <w:noProof/>
                <w:webHidden/>
              </w:rPr>
              <w:fldChar w:fldCharType="begin"/>
            </w:r>
            <w:r>
              <w:rPr>
                <w:noProof/>
                <w:webHidden/>
              </w:rPr>
              <w:instrText xml:space="preserve"> PAGEREF _Toc11424224 \h </w:instrText>
            </w:r>
            <w:r>
              <w:rPr>
                <w:noProof/>
                <w:webHidden/>
              </w:rPr>
            </w:r>
            <w:r>
              <w:rPr>
                <w:noProof/>
                <w:webHidden/>
              </w:rPr>
              <w:fldChar w:fldCharType="separate"/>
            </w:r>
            <w:r>
              <w:rPr>
                <w:noProof/>
                <w:webHidden/>
              </w:rPr>
              <w:t>3</w:t>
            </w:r>
            <w:r>
              <w:rPr>
                <w:noProof/>
                <w:webHidden/>
              </w:rPr>
              <w:fldChar w:fldCharType="end"/>
            </w:r>
          </w:hyperlink>
        </w:p>
        <w:p w14:paraId="51AAB70A" w14:textId="796A9949"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5" w:history="1">
            <w:r w:rsidRPr="00B42149">
              <w:rPr>
                <w:rStyle w:val="Hyperlink"/>
                <w:noProof/>
              </w:rPr>
              <w:t>4.1</w:t>
            </w:r>
            <w:r>
              <w:rPr>
                <w:rFonts w:asciiTheme="minorHAnsi" w:eastAsiaTheme="minorEastAsia" w:hAnsiTheme="minorHAnsi" w:cstheme="minorBidi"/>
                <w:smallCaps w:val="0"/>
                <w:noProof/>
                <w:sz w:val="22"/>
                <w:szCs w:val="22"/>
                <w:lang w:val="en-CA" w:eastAsia="en-CA"/>
              </w:rPr>
              <w:tab/>
            </w:r>
            <w:r w:rsidRPr="00B42149">
              <w:rPr>
                <w:rStyle w:val="Hyperlink"/>
                <w:noProof/>
              </w:rPr>
              <w:t>Cross-Border Architecture</w:t>
            </w:r>
            <w:r>
              <w:rPr>
                <w:noProof/>
                <w:webHidden/>
              </w:rPr>
              <w:tab/>
            </w:r>
            <w:r>
              <w:rPr>
                <w:noProof/>
                <w:webHidden/>
              </w:rPr>
              <w:fldChar w:fldCharType="begin"/>
            </w:r>
            <w:r>
              <w:rPr>
                <w:noProof/>
                <w:webHidden/>
              </w:rPr>
              <w:instrText xml:space="preserve"> PAGEREF _Toc11424225 \h </w:instrText>
            </w:r>
            <w:r>
              <w:rPr>
                <w:noProof/>
                <w:webHidden/>
              </w:rPr>
            </w:r>
            <w:r>
              <w:rPr>
                <w:noProof/>
                <w:webHidden/>
              </w:rPr>
              <w:fldChar w:fldCharType="separate"/>
            </w:r>
            <w:r>
              <w:rPr>
                <w:noProof/>
                <w:webHidden/>
              </w:rPr>
              <w:t>4</w:t>
            </w:r>
            <w:r>
              <w:rPr>
                <w:noProof/>
                <w:webHidden/>
              </w:rPr>
              <w:fldChar w:fldCharType="end"/>
            </w:r>
          </w:hyperlink>
        </w:p>
        <w:p w14:paraId="1D3CD79F" w14:textId="3E1727B0"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6" w:history="1">
            <w:r w:rsidRPr="00B42149">
              <w:rPr>
                <w:rStyle w:val="Hyperlink"/>
                <w:noProof/>
              </w:rPr>
              <w:t>4.2</w:t>
            </w:r>
            <w:r>
              <w:rPr>
                <w:rFonts w:asciiTheme="minorHAnsi" w:eastAsiaTheme="minorEastAsia" w:hAnsiTheme="minorHAnsi" w:cstheme="minorBidi"/>
                <w:smallCaps w:val="0"/>
                <w:noProof/>
                <w:sz w:val="22"/>
                <w:szCs w:val="22"/>
                <w:lang w:val="en-CA" w:eastAsia="en-CA"/>
              </w:rPr>
              <w:tab/>
            </w:r>
            <w:r w:rsidRPr="00B42149">
              <w:rPr>
                <w:rStyle w:val="Hyperlink"/>
                <w:noProof/>
              </w:rPr>
              <w:t>Scope of Trusted STI-CA</w:t>
            </w:r>
            <w:r>
              <w:rPr>
                <w:noProof/>
                <w:webHidden/>
              </w:rPr>
              <w:tab/>
            </w:r>
            <w:r>
              <w:rPr>
                <w:noProof/>
                <w:webHidden/>
              </w:rPr>
              <w:fldChar w:fldCharType="begin"/>
            </w:r>
            <w:r>
              <w:rPr>
                <w:noProof/>
                <w:webHidden/>
              </w:rPr>
              <w:instrText xml:space="preserve"> PAGEREF _Toc11424226 \h </w:instrText>
            </w:r>
            <w:r>
              <w:rPr>
                <w:noProof/>
                <w:webHidden/>
              </w:rPr>
            </w:r>
            <w:r>
              <w:rPr>
                <w:noProof/>
                <w:webHidden/>
              </w:rPr>
              <w:fldChar w:fldCharType="separate"/>
            </w:r>
            <w:r>
              <w:rPr>
                <w:noProof/>
                <w:webHidden/>
              </w:rPr>
              <w:t>6</w:t>
            </w:r>
            <w:r>
              <w:rPr>
                <w:noProof/>
                <w:webHidden/>
              </w:rPr>
              <w:fldChar w:fldCharType="end"/>
            </w:r>
          </w:hyperlink>
        </w:p>
        <w:p w14:paraId="4228B233" w14:textId="05A0F6EF" w:rsidR="00CE1B6D" w:rsidRDefault="00CE1B6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7" w:history="1">
            <w:r w:rsidRPr="00B42149">
              <w:rPr>
                <w:rStyle w:val="Hyperlink"/>
                <w:noProof/>
              </w:rPr>
              <w:t>4.3</w:t>
            </w:r>
            <w:r>
              <w:rPr>
                <w:rFonts w:asciiTheme="minorHAnsi" w:eastAsiaTheme="minorEastAsia" w:hAnsiTheme="minorHAnsi" w:cstheme="minorBidi"/>
                <w:smallCaps w:val="0"/>
                <w:noProof/>
                <w:sz w:val="22"/>
                <w:szCs w:val="22"/>
                <w:lang w:val="en-CA" w:eastAsia="en-CA"/>
              </w:rPr>
              <w:tab/>
            </w:r>
            <w:r w:rsidRPr="00B42149">
              <w:rPr>
                <w:rStyle w:val="Hyperlink"/>
                <w:noProof/>
              </w:rPr>
              <w:t>Merging Trusted STI-CA Lists</w:t>
            </w:r>
            <w:r>
              <w:rPr>
                <w:noProof/>
                <w:webHidden/>
              </w:rPr>
              <w:tab/>
            </w:r>
            <w:r>
              <w:rPr>
                <w:noProof/>
                <w:webHidden/>
              </w:rPr>
              <w:fldChar w:fldCharType="begin"/>
            </w:r>
            <w:r>
              <w:rPr>
                <w:noProof/>
                <w:webHidden/>
              </w:rPr>
              <w:instrText xml:space="preserve"> PAGEREF _Toc11424227 \h </w:instrText>
            </w:r>
            <w:r>
              <w:rPr>
                <w:noProof/>
                <w:webHidden/>
              </w:rPr>
            </w:r>
            <w:r>
              <w:rPr>
                <w:noProof/>
                <w:webHidden/>
              </w:rPr>
              <w:fldChar w:fldCharType="separate"/>
            </w:r>
            <w:r>
              <w:rPr>
                <w:noProof/>
                <w:webHidden/>
              </w:rPr>
              <w:t>6</w:t>
            </w:r>
            <w:r>
              <w:rPr>
                <w:noProof/>
                <w:webHidden/>
              </w:rPr>
              <w:fldChar w:fldCharType="end"/>
            </w:r>
          </w:hyperlink>
        </w:p>
        <w:p w14:paraId="2E491449" w14:textId="05FE74FF" w:rsidR="00CE1B6D" w:rsidRDefault="00CE1B6D">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29" w:history="1">
            <w:r w:rsidRPr="00B42149">
              <w:rPr>
                <w:rStyle w:val="Hyperlink"/>
                <w:noProof/>
              </w:rPr>
              <w:t>4.3.1</w:t>
            </w:r>
            <w:r>
              <w:rPr>
                <w:rFonts w:asciiTheme="minorHAnsi" w:eastAsiaTheme="minorEastAsia" w:hAnsiTheme="minorHAnsi" w:cstheme="minorBidi"/>
                <w:i w:val="0"/>
                <w:iCs w:val="0"/>
                <w:noProof/>
                <w:sz w:val="22"/>
                <w:szCs w:val="22"/>
                <w:lang w:val="en-CA" w:eastAsia="en-CA"/>
              </w:rPr>
              <w:tab/>
            </w:r>
            <w:r w:rsidRPr="00B42149">
              <w:rPr>
                <w:rStyle w:val="Hyperlink"/>
                <w:noProof/>
              </w:rPr>
              <w:t>Server</w:t>
            </w:r>
            <w:r>
              <w:rPr>
                <w:noProof/>
                <w:webHidden/>
              </w:rPr>
              <w:tab/>
            </w:r>
            <w:r>
              <w:rPr>
                <w:noProof/>
                <w:webHidden/>
              </w:rPr>
              <w:fldChar w:fldCharType="begin"/>
            </w:r>
            <w:r>
              <w:rPr>
                <w:noProof/>
                <w:webHidden/>
              </w:rPr>
              <w:instrText xml:space="preserve"> PAGEREF _Toc11424229 \h </w:instrText>
            </w:r>
            <w:r>
              <w:rPr>
                <w:noProof/>
                <w:webHidden/>
              </w:rPr>
            </w:r>
            <w:r>
              <w:rPr>
                <w:noProof/>
                <w:webHidden/>
              </w:rPr>
              <w:fldChar w:fldCharType="separate"/>
            </w:r>
            <w:r>
              <w:rPr>
                <w:noProof/>
                <w:webHidden/>
              </w:rPr>
              <w:t>7</w:t>
            </w:r>
            <w:r>
              <w:rPr>
                <w:noProof/>
                <w:webHidden/>
              </w:rPr>
              <w:fldChar w:fldCharType="end"/>
            </w:r>
          </w:hyperlink>
        </w:p>
        <w:p w14:paraId="449C127B" w14:textId="59CE7EE1" w:rsidR="00CE1B6D" w:rsidRDefault="00CE1B6D">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hyperlink w:anchor="_Toc11424230" w:history="1">
            <w:r>
              <w:rPr>
                <w:rFonts w:asciiTheme="minorHAnsi" w:eastAsiaTheme="minorEastAsia" w:hAnsiTheme="minorHAnsi" w:cstheme="minorBidi"/>
                <w:i w:val="0"/>
                <w:iCs w:val="0"/>
                <w:noProof/>
                <w:sz w:val="22"/>
                <w:szCs w:val="22"/>
                <w:lang w:val="en-CA" w:eastAsia="en-CA"/>
              </w:rPr>
              <w:tab/>
            </w:r>
            <w:r w:rsidRPr="00B42149">
              <w:rPr>
                <w:rStyle w:val="Hyperlink"/>
                <w:noProof/>
              </w:rPr>
              <w:t>Interface to Server</w:t>
            </w:r>
            <w:r>
              <w:rPr>
                <w:noProof/>
                <w:webHidden/>
              </w:rPr>
              <w:tab/>
            </w:r>
            <w:r>
              <w:rPr>
                <w:noProof/>
                <w:webHidden/>
              </w:rPr>
              <w:fldChar w:fldCharType="begin"/>
            </w:r>
            <w:r>
              <w:rPr>
                <w:noProof/>
                <w:webHidden/>
              </w:rPr>
              <w:instrText xml:space="preserve"> PAGEREF _Toc11424230 \h </w:instrText>
            </w:r>
            <w:r>
              <w:rPr>
                <w:noProof/>
                <w:webHidden/>
              </w:rPr>
            </w:r>
            <w:r>
              <w:rPr>
                <w:noProof/>
                <w:webHidden/>
              </w:rPr>
              <w:fldChar w:fldCharType="separate"/>
            </w:r>
            <w:r>
              <w:rPr>
                <w:noProof/>
                <w:webHidden/>
              </w:rPr>
              <w:t>8</w:t>
            </w:r>
            <w:r>
              <w:rPr>
                <w:noProof/>
                <w:webHidden/>
              </w:rPr>
              <w:fldChar w:fldCharType="end"/>
            </w:r>
          </w:hyperlink>
        </w:p>
        <w:p w14:paraId="327DC9FB" w14:textId="0245CCF0" w:rsidR="00CE1B6D" w:rsidRDefault="00CE1B6D">
          <w:pPr>
            <w:pStyle w:val="TOC3"/>
            <w:tabs>
              <w:tab w:val="right" w:leader="dot" w:pos="10070"/>
            </w:tabs>
            <w:rPr>
              <w:rFonts w:asciiTheme="minorHAnsi" w:eastAsiaTheme="minorEastAsia" w:hAnsiTheme="minorHAnsi" w:cstheme="minorBidi"/>
              <w:i w:val="0"/>
              <w:iCs w:val="0"/>
              <w:noProof/>
              <w:sz w:val="22"/>
              <w:szCs w:val="22"/>
              <w:lang w:val="en-CA" w:eastAsia="en-CA"/>
            </w:rPr>
          </w:pPr>
          <w:hyperlink w:anchor="_Toc11424231" w:history="1">
            <w:r w:rsidRPr="00B42149">
              <w:rPr>
                <w:rStyle w:val="Hyperlink"/>
                <w:noProof/>
              </w:rPr>
              <w:t>4.3.2</w:t>
            </w:r>
            <w:r>
              <w:rPr>
                <w:noProof/>
                <w:webHidden/>
              </w:rPr>
              <w:tab/>
            </w:r>
            <w:r>
              <w:rPr>
                <w:noProof/>
                <w:webHidden/>
              </w:rPr>
              <w:fldChar w:fldCharType="begin"/>
            </w:r>
            <w:r>
              <w:rPr>
                <w:noProof/>
                <w:webHidden/>
              </w:rPr>
              <w:instrText xml:space="preserve"> PAGEREF _Toc11424231 \h </w:instrText>
            </w:r>
            <w:r>
              <w:rPr>
                <w:noProof/>
                <w:webHidden/>
              </w:rPr>
            </w:r>
            <w:r>
              <w:rPr>
                <w:noProof/>
                <w:webHidden/>
              </w:rPr>
              <w:fldChar w:fldCharType="separate"/>
            </w:r>
            <w:r>
              <w:rPr>
                <w:noProof/>
                <w:webHidden/>
              </w:rPr>
              <w:t>8</w:t>
            </w:r>
            <w:r>
              <w:rPr>
                <w:noProof/>
                <w:webHidden/>
              </w:rPr>
              <w:fldChar w:fldCharType="end"/>
            </w:r>
          </w:hyperlink>
        </w:p>
        <w:p w14:paraId="1EBA7F19" w14:textId="719F8CEA" w:rsidR="00CE1B6D" w:rsidRDefault="00CE1B6D">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hyperlink w:anchor="_Toc11424232" w:history="1">
            <w:r w:rsidRPr="00B42149">
              <w:rPr>
                <w:rStyle w:val="Hyperlink"/>
                <w:noProof/>
              </w:rPr>
              <w:t>4.3.3</w:t>
            </w:r>
            <w:r>
              <w:rPr>
                <w:rFonts w:asciiTheme="minorHAnsi" w:eastAsiaTheme="minorEastAsia" w:hAnsiTheme="minorHAnsi" w:cstheme="minorBidi"/>
                <w:i w:val="0"/>
                <w:iCs w:val="0"/>
                <w:noProof/>
                <w:sz w:val="22"/>
                <w:szCs w:val="22"/>
                <w:lang w:val="en-CA" w:eastAsia="en-CA"/>
              </w:rPr>
              <w:tab/>
            </w:r>
            <w:r w:rsidRPr="00B42149">
              <w:rPr>
                <w:rStyle w:val="Hyperlink"/>
                <w:noProof/>
              </w:rPr>
              <w:t>Procedures to Update Server</w:t>
            </w:r>
            <w:r>
              <w:rPr>
                <w:noProof/>
                <w:webHidden/>
              </w:rPr>
              <w:tab/>
            </w:r>
            <w:r>
              <w:rPr>
                <w:noProof/>
                <w:webHidden/>
              </w:rPr>
              <w:fldChar w:fldCharType="begin"/>
            </w:r>
            <w:r>
              <w:rPr>
                <w:noProof/>
                <w:webHidden/>
              </w:rPr>
              <w:instrText xml:space="preserve"> PAGEREF _Toc11424232 \h </w:instrText>
            </w:r>
            <w:r>
              <w:rPr>
                <w:noProof/>
                <w:webHidden/>
              </w:rPr>
            </w:r>
            <w:r>
              <w:rPr>
                <w:noProof/>
                <w:webHidden/>
              </w:rPr>
              <w:fldChar w:fldCharType="separate"/>
            </w:r>
            <w:r>
              <w:rPr>
                <w:noProof/>
                <w:webHidden/>
              </w:rPr>
              <w:t>8</w:t>
            </w:r>
            <w:r>
              <w:rPr>
                <w:noProof/>
                <w:webHidden/>
              </w:rPr>
              <w:fldChar w:fldCharType="end"/>
            </w:r>
          </w:hyperlink>
        </w:p>
        <w:p w14:paraId="73AA9E8C" w14:textId="23810D37" w:rsidR="00CE1B6D" w:rsidRDefault="00CE1B6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33" w:history="1">
            <w:r w:rsidRPr="00B42149">
              <w:rPr>
                <w:rStyle w:val="Hyperlink"/>
                <w:noProof/>
              </w:rPr>
              <w:t>A</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Annex Title</w:t>
            </w:r>
            <w:r>
              <w:rPr>
                <w:noProof/>
                <w:webHidden/>
              </w:rPr>
              <w:tab/>
            </w:r>
            <w:r>
              <w:rPr>
                <w:noProof/>
                <w:webHidden/>
              </w:rPr>
              <w:fldChar w:fldCharType="begin"/>
            </w:r>
            <w:r>
              <w:rPr>
                <w:noProof/>
                <w:webHidden/>
              </w:rPr>
              <w:instrText xml:space="preserve"> PAGEREF _Toc11424233 \h </w:instrText>
            </w:r>
            <w:r>
              <w:rPr>
                <w:noProof/>
                <w:webHidden/>
              </w:rPr>
            </w:r>
            <w:r>
              <w:rPr>
                <w:noProof/>
                <w:webHidden/>
              </w:rPr>
              <w:fldChar w:fldCharType="separate"/>
            </w:r>
            <w:r>
              <w:rPr>
                <w:noProof/>
                <w:webHidden/>
              </w:rPr>
              <w:t>9</w:t>
            </w:r>
            <w:r>
              <w:rPr>
                <w:noProof/>
                <w:webHidden/>
              </w:rPr>
              <w:fldChar w:fldCharType="end"/>
            </w:r>
          </w:hyperlink>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3F621A4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Pr>
            <w:noProof/>
            <w:webHidden/>
          </w:rPr>
          <w:t>4</w:t>
        </w:r>
        <w:r>
          <w:rPr>
            <w:noProof/>
            <w:webHidden/>
          </w:rPr>
          <w:fldChar w:fldCharType="end"/>
        </w:r>
      </w:hyperlink>
    </w:p>
    <w:p w14:paraId="4AB8EB2D" w14:textId="1A9B976A" w:rsidR="00A56FF1" w:rsidRDefault="001D0586">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3322E787" w14:textId="73BD97AF" w:rsidR="00A56FF1" w:rsidRDefault="001D0586">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5D18F923" w14:textId="7B8EDE36" w:rsidR="00A56FF1" w:rsidRDefault="001D0586">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221A9E6A" w14:textId="4ABF6163" w:rsidR="00A56FF1" w:rsidRDefault="001D0586">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723C1528" w14:textId="07E99458" w:rsidR="00A56FF1" w:rsidRDefault="001D0586">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060498C5" w14:textId="3F81ED4E" w:rsidR="00A56FF1" w:rsidRDefault="001D0586">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40" w:name="_Toc11424216"/>
      <w:r>
        <w:lastRenderedPageBreak/>
        <w:t>Scope, Purpose, &amp; Application</w:t>
      </w:r>
      <w:bookmarkEnd w:id="40"/>
    </w:p>
    <w:p w14:paraId="51E8CAB6" w14:textId="77777777" w:rsidR="00424AF1" w:rsidRDefault="00424AF1" w:rsidP="00424AF1">
      <w:pPr>
        <w:pStyle w:val="Heading2"/>
      </w:pPr>
      <w:bookmarkStart w:id="41" w:name="_Toc11424217"/>
      <w:r>
        <w:t>Scope</w:t>
      </w:r>
      <w:bookmarkEnd w:id="41"/>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2" w:name="_Toc11424218"/>
      <w:r>
        <w:t>Purpose</w:t>
      </w:r>
      <w:bookmarkEnd w:id="42"/>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3" w:name="_Toc11424219"/>
      <w:r>
        <w:t>Application</w:t>
      </w:r>
      <w:bookmarkEnd w:id="43"/>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44" w:name="_Toc11424220"/>
      <w:r>
        <w:t>Normative References</w:t>
      </w:r>
      <w:bookmarkEnd w:id="44"/>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w:t>
      </w:r>
      <w:proofErr w:type="gramStart"/>
      <w:r w:rsidR="00DD0236">
        <w:t>8588</w:t>
      </w:r>
      <w:r>
        <w:t xml:space="preserve"> </w:t>
      </w:r>
      <w:r w:rsidR="003D0542" w:rsidRPr="00D97DFA">
        <w:t>,</w:t>
      </w:r>
      <w:proofErr w:type="gramEnd"/>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45" w:name="_Ref403216830"/>
      <w:r w:rsidRPr="00D97DFA">
        <w:rPr>
          <w:rStyle w:val="FootnoteReference"/>
          <w:i/>
        </w:rPr>
        <w:footnoteReference w:id="2"/>
      </w:r>
      <w:bookmarkEnd w:id="45"/>
    </w:p>
    <w:p w14:paraId="4ABE8513" w14:textId="77777777" w:rsidR="003D0542" w:rsidRPr="00D97DFA" w:rsidRDefault="003D0542" w:rsidP="003D0542">
      <w:pPr>
        <w:rPr>
          <w:i/>
        </w:rPr>
      </w:pPr>
      <w:r w:rsidRPr="00D97DFA">
        <w:t xml:space="preserve">ATIS-1000084, </w:t>
      </w:r>
      <w:bookmarkStart w:id="46" w:name="_Hlk9259291"/>
      <w:r w:rsidRPr="00D97DFA">
        <w:rPr>
          <w:i/>
        </w:rPr>
        <w:t>Technical Report on Operational and Management Considerations for SHAKEN STI Certification Authorities and Policy Administrators</w:t>
      </w:r>
      <w:bookmarkEnd w:id="46"/>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47" w:name="_Toc11424221"/>
      <w:r>
        <w:t>Definitions, Acronyms, &amp; Abbreviations</w:t>
      </w:r>
      <w:bookmarkEnd w:id="47"/>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8" w:name="_Toc11424222"/>
      <w:r>
        <w:t>Definitions</w:t>
      </w:r>
      <w:bookmarkEnd w:id="48"/>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9" w:name="_Toc11424223"/>
      <w:r>
        <w:t>Acronyms &amp; Abbreviations</w:t>
      </w:r>
      <w:bookmarkEnd w:id="49"/>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50" w:name="_Toc11424224"/>
      <w:r>
        <w:t>Overview</w:t>
      </w:r>
      <w:bookmarkEnd w:id="50"/>
    </w:p>
    <w:p w14:paraId="17EBD5EC" w14:textId="035D8E1E"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w:t>
      </w:r>
      <w:r w:rsidR="008C0567" w:rsidRPr="00CC08D8">
        <w:rPr>
          <w:rFonts w:cs="Arial"/>
        </w:rPr>
        <w:t>S</w:t>
      </w:r>
      <w:r w:rsidR="008C0567">
        <w:rPr>
          <w:rFonts w:cs="Arial"/>
        </w:rPr>
        <w:t>ecure Telephone Identity-Governance Authorities (</w:t>
      </w:r>
      <w:r w:rsidRPr="00CC08D8">
        <w:rPr>
          <w:rFonts w:cs="Arial"/>
        </w:rPr>
        <w:t>STI-</w:t>
      </w:r>
      <w:r w:rsidR="00762589" w:rsidRPr="00CC08D8">
        <w:rPr>
          <w:rFonts w:cs="Arial"/>
        </w:rPr>
        <w:t>G</w:t>
      </w:r>
      <w:r w:rsidR="00762589">
        <w:rPr>
          <w:rFonts w:cs="Arial"/>
        </w:rPr>
        <w:t>A</w:t>
      </w:r>
      <w:r w:rsidR="00762589" w:rsidRPr="00CC08D8">
        <w:rPr>
          <w:rFonts w:cs="Arial"/>
        </w:rPr>
        <w:t>s</w:t>
      </w:r>
      <w:r w:rsidR="008C0567">
        <w:rPr>
          <w:rFonts w:cs="Arial"/>
        </w:rPr>
        <w:t>)</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proofErr w:type="gramStart"/>
      <w:r w:rsidR="00CA08A0">
        <w:rPr>
          <w:rFonts w:cs="Arial"/>
        </w:rPr>
        <w:t>both</w:t>
      </w:r>
      <w:r>
        <w:rPr>
          <w:rFonts w:cs="Arial"/>
        </w:rPr>
        <w:t xml:space="preserve"> of the participating</w:t>
      </w:r>
      <w:proofErr w:type="gramEnd"/>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p>
    <w:p w14:paraId="056B4D56" w14:textId="4D6AA450"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51" w:name="_Toc11424225"/>
      <w:r>
        <w:t>Cross-Border</w:t>
      </w:r>
      <w:r w:rsidR="00A63C19">
        <w:t xml:space="preserve"> </w:t>
      </w:r>
      <w:r>
        <w:t>Architecture</w:t>
      </w:r>
      <w:bookmarkEnd w:id="51"/>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197E726B" w:rsidR="003F578E" w:rsidRDefault="00A56FF1" w:rsidP="00595013">
      <w:pPr>
        <w:pStyle w:val="Caption"/>
        <w:jc w:val="left"/>
      </w:pPr>
      <w:bookmarkStart w:id="52" w:name="_Toc9258371"/>
      <w:r>
        <w:t xml:space="preserve">Figure </w:t>
      </w:r>
      <w:fldSimple w:instr=" SEQ Figure \* ARABIC ">
        <w:r>
          <w:rPr>
            <w:noProof/>
          </w:rPr>
          <w:t>1</w:t>
        </w:r>
      </w:fldSimple>
      <w:r>
        <w:t xml:space="preserve">: </w:t>
      </w:r>
      <w:r w:rsidRPr="0093519F">
        <w:t>SHAKEN Trust Model</w:t>
      </w:r>
      <w:bookmarkEnd w:id="52"/>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32E09140" w:rsidR="002D7C0A" w:rsidRDefault="00A56FF1" w:rsidP="00595013">
      <w:pPr>
        <w:pStyle w:val="Caption"/>
        <w:jc w:val="left"/>
      </w:pPr>
      <w:bookmarkStart w:id="53" w:name="_Toc9258372"/>
      <w:r>
        <w:t xml:space="preserve">Figure </w:t>
      </w:r>
      <w:fldSimple w:instr=" SEQ Figure \* ARABIC ">
        <w:r>
          <w:rPr>
            <w:noProof/>
          </w:rPr>
          <w:t>2</w:t>
        </w:r>
      </w:fldSimple>
      <w:r>
        <w:t xml:space="preserve">: </w:t>
      </w:r>
      <w:r w:rsidRPr="00F522E9">
        <w:t xml:space="preserve">List of Trusted </w:t>
      </w:r>
      <w:r w:rsidR="00D54F47">
        <w:t>STI-</w:t>
      </w:r>
      <w:r w:rsidRPr="00F522E9">
        <w:t>CAs</w:t>
      </w:r>
      <w:bookmarkEnd w:id="53"/>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0F630F0" w:rsidR="00313711" w:rsidRPr="00313711" w:rsidRDefault="00A56FF1" w:rsidP="00653F71">
      <w:pPr>
        <w:pStyle w:val="Caption"/>
        <w:jc w:val="left"/>
      </w:pPr>
      <w:bookmarkStart w:id="54" w:name="_Toc9258373"/>
      <w:r>
        <w:t xml:space="preserve">Figure </w:t>
      </w:r>
      <w:r w:rsidR="008F6942">
        <w:fldChar w:fldCharType="begin"/>
      </w:r>
      <w:r w:rsidR="008F6942">
        <w:rPr>
          <w:b w:val="0"/>
        </w:rPr>
        <w:instrText xml:space="preserve"> SEQ Figure \* ARABIC </w:instrText>
      </w:r>
      <w:r w:rsidR="008F6942">
        <w:fldChar w:fldCharType="separate"/>
      </w:r>
      <w:r>
        <w:rPr>
          <w:noProof/>
        </w:rPr>
        <w:t>3</w:t>
      </w:r>
      <w:r w:rsidR="008F6942">
        <w:rPr>
          <w:noProof/>
        </w:rPr>
        <w:fldChar w:fldCharType="end"/>
      </w:r>
      <w:r>
        <w:t xml:space="preserve">: </w:t>
      </w:r>
      <w:r w:rsidRPr="00D147A4">
        <w:t xml:space="preserve">Independent lists of Trusted </w:t>
      </w:r>
      <w:r w:rsidR="00D54F47">
        <w:t>STI-</w:t>
      </w:r>
      <w:r w:rsidRPr="00D147A4">
        <w:t>CAs</w:t>
      </w:r>
      <w:bookmarkEnd w:id="54"/>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5CA8E65A" w:rsidR="00076F31" w:rsidRDefault="00A56FF1" w:rsidP="00595013">
      <w:pPr>
        <w:pStyle w:val="Caption"/>
        <w:jc w:val="left"/>
      </w:pPr>
      <w:bookmarkStart w:id="55" w:name="_Toc9258374"/>
      <w:r>
        <w:t xml:space="preserve">Figure </w:t>
      </w:r>
      <w:fldSimple w:instr=" SEQ Figure \* ARABIC ">
        <w:r>
          <w:rPr>
            <w:noProof/>
          </w:rPr>
          <w:t>4</w:t>
        </w:r>
      </w:fldSimple>
      <w:r>
        <w:t xml:space="preserve">: </w:t>
      </w:r>
      <w:r w:rsidRPr="00B13F51">
        <w:t>Independent Deployments of SHAKEN</w:t>
      </w:r>
      <w:bookmarkEnd w:id="55"/>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3B1BDA9" w:rsidR="00AD3F93" w:rsidRDefault="008E201F" w:rsidP="001F2162">
      <w:r>
        <w:t xml:space="preserve">On the other hand, if the two STI-GAs agreed to trust each other, and instructed their respective STI-PAs to merge 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43312281" w:rsidR="00313711" w:rsidRPr="00313711" w:rsidRDefault="00A56FF1" w:rsidP="00EE28D0">
      <w:pPr>
        <w:pStyle w:val="Caption"/>
        <w:jc w:val="both"/>
      </w:pPr>
      <w:bookmarkStart w:id="56" w:name="_Toc9258375"/>
      <w:r>
        <w:t xml:space="preserve">Figure </w:t>
      </w:r>
      <w:r w:rsidR="008F6942">
        <w:fldChar w:fldCharType="begin"/>
      </w:r>
      <w:r w:rsidR="008F6942">
        <w:rPr>
          <w:b w:val="0"/>
        </w:rPr>
        <w:instrText xml:space="preserve"> SEQ Figure \* ARABIC </w:instrText>
      </w:r>
      <w:r w:rsidR="008F6942">
        <w:fldChar w:fldCharType="separate"/>
      </w:r>
      <w:r>
        <w:rPr>
          <w:noProof/>
        </w:rPr>
        <w:t>5</w:t>
      </w:r>
      <w:r w:rsidR="008F6942">
        <w:rPr>
          <w:noProof/>
        </w:rPr>
        <w:fldChar w:fldCharType="end"/>
      </w:r>
      <w:r>
        <w:t xml:space="preserve">: </w:t>
      </w:r>
      <w:r w:rsidRPr="00B729CD">
        <w:t xml:space="preserve">Merged Trusted </w:t>
      </w:r>
      <w:r w:rsidR="00D54F47">
        <w:t>STI-</w:t>
      </w:r>
      <w:r w:rsidRPr="00B729CD">
        <w:t>CA Lists</w:t>
      </w:r>
      <w:bookmarkEnd w:id="56"/>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7185F114" w:rsidR="009C704C" w:rsidRDefault="00A56FF1" w:rsidP="00595013">
      <w:pPr>
        <w:pStyle w:val="Caption"/>
        <w:jc w:val="both"/>
      </w:pPr>
      <w:bookmarkStart w:id="57" w:name="_Toc9258376"/>
      <w:r>
        <w:t xml:space="preserve">Figure </w:t>
      </w:r>
      <w:fldSimple w:instr=" SEQ Figure \* ARABIC ">
        <w:r>
          <w:rPr>
            <w:noProof/>
          </w:rPr>
          <w:t>6</w:t>
        </w:r>
      </w:fldSimple>
      <w:r>
        <w:t xml:space="preserve">: </w:t>
      </w:r>
      <w:r w:rsidRPr="0087268F">
        <w:t xml:space="preserve">Merged Trusted </w:t>
      </w:r>
      <w:r w:rsidR="00D54F47">
        <w:t>STI-</w:t>
      </w:r>
      <w:r w:rsidRPr="0087268F">
        <w:t>CA Lists</w:t>
      </w:r>
      <w:r>
        <w:t xml:space="preserve"> (Network Context)</w:t>
      </w:r>
      <w:bookmarkEnd w:id="57"/>
    </w:p>
    <w:p w14:paraId="5AB1A4FA" w14:textId="77777777" w:rsidR="00573830" w:rsidRDefault="00573830" w:rsidP="001F2162"/>
    <w:p w14:paraId="51E8CAD7" w14:textId="4F058D7F" w:rsidR="001F2162" w:rsidRDefault="00B64F7D" w:rsidP="001F2162">
      <w:r>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58" w:name="_Toc11424226"/>
      <w:r>
        <w:t xml:space="preserve">Scope of </w:t>
      </w:r>
      <w:r w:rsidR="00A55A86">
        <w:t>Trusted STI-CA</w:t>
      </w:r>
      <w:bookmarkEnd w:id="58"/>
    </w:p>
    <w:p w14:paraId="50C7C66E" w14:textId="6AD4BE18" w:rsidR="00007F87"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STI-GA.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In the case of multiple STI-PAs, </w:t>
      </w:r>
      <w:r w:rsidR="000F7FDE">
        <w:t xml:space="preserve">a mechanism is required to uniquely identity the STI-PA that has approved the STI-CA to issue certificates for a specific country. While E.164 Country Codes (CC) are assigned for telephone numbers, they are not necessarily unique to a country (e.g., the US and Canada have the same E.164 country code).   In order to uniquely identity the STI-PA that has approved a specific STI-CA in the SHAKEN ecosystem, the ISO 3166-1 alpha 2 country code </w:t>
      </w:r>
      <w:r w:rsidR="00762589">
        <w:t xml:space="preserve">can </w:t>
      </w:r>
      <w:r w:rsidR="000F7FDE">
        <w:t xml:space="preserve">be included in the root certificate. </w:t>
      </w:r>
      <w:r w:rsidR="00762589">
        <w:t xml:space="preserve">During certificate path validation, the STI-VS checks that the root certificate in the chain is on the list of Trusted STI-CAs.   </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4E3CFE3B" w:rsidR="001F2162" w:rsidRDefault="00C71274" w:rsidP="00826D0C">
      <w:pPr>
        <w:pStyle w:val="Heading2"/>
      </w:pPr>
      <w:bookmarkStart w:id="59" w:name="_Toc11424227"/>
      <w:r>
        <w:t xml:space="preserve">Merging Trusted </w:t>
      </w:r>
      <w:r w:rsidR="00D54F47">
        <w:t>STI-</w:t>
      </w:r>
      <w:r>
        <w:t>CA Lists</w:t>
      </w:r>
      <w:bookmarkEnd w:id="59"/>
    </w:p>
    <w:p w14:paraId="51E8CAD9" w14:textId="549C86B1" w:rsidR="001F2162" w:rsidRDefault="001F2162" w:rsidP="001F2162"/>
    <w:p w14:paraId="0286779C" w14:textId="077BA16C" w:rsidR="00A56FF1" w:rsidRDefault="00A56FF1" w:rsidP="00595013">
      <w:pPr>
        <w:keepNext/>
      </w:pPr>
    </w:p>
    <w:p w14:paraId="0560B54C" w14:textId="77777777" w:rsidR="00DB0F18" w:rsidRDefault="00DB0F18" w:rsidP="00595013">
      <w:pPr>
        <w:keepNext/>
      </w:pPr>
    </w:p>
    <w:p w14:paraId="447BCE67" w14:textId="50362084" w:rsidR="00FB1172" w:rsidRDefault="00FB1172" w:rsidP="00595013">
      <w:pPr>
        <w:pStyle w:val="Caption"/>
        <w:jc w:val="both"/>
      </w:pPr>
      <w:bookmarkStart w:id="60" w:name="_Toc9258377"/>
    </w:p>
    <w:p w14:paraId="25885D0C" w14:textId="57EF8D30" w:rsidR="005F6A88" w:rsidRPr="005F6A88" w:rsidRDefault="005F6A88" w:rsidP="008D23FE">
      <w:r>
        <w:rPr>
          <w:noProof/>
        </w:rPr>
        <w:lastRenderedPageBreak/>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0F9D175A" w:rsidR="00CF4FA0" w:rsidRDefault="00A56FF1" w:rsidP="00595013">
      <w:pPr>
        <w:pStyle w:val="Caption"/>
        <w:jc w:val="both"/>
      </w:pPr>
      <w:r>
        <w:t xml:space="preserve">Figure </w:t>
      </w:r>
      <w:fldSimple w:instr=" SEQ Figure \* ARABIC ">
        <w:r>
          <w:rPr>
            <w:noProof/>
          </w:rPr>
          <w:t>7</w:t>
        </w:r>
      </w:fldSimple>
      <w:r>
        <w:t xml:space="preserve">: Trusted </w:t>
      </w:r>
      <w:r w:rsidR="00D54F47">
        <w:t>STI-</w:t>
      </w:r>
      <w:r>
        <w:t xml:space="preserve">CA </w:t>
      </w:r>
      <w:bookmarkEnd w:id="60"/>
      <w:r w:rsidR="00C15A7E">
        <w:t>Server</w:t>
      </w:r>
    </w:p>
    <w:p w14:paraId="3FB51377" w14:textId="20B896E5" w:rsidR="00690E7D" w:rsidRDefault="00690E7D" w:rsidP="00690E7D"/>
    <w:p w14:paraId="6481A0C9" w14:textId="103674D3" w:rsidR="00690E7D" w:rsidRDefault="00690E7D" w:rsidP="00690E7D">
      <w:r>
        <w:t>Each STI-PA will be responsible for providing a server with the required information on their Trusted STI-CAs.  When an STI-GA agrees to merge Trusted CA lists with another country, it will instruct the STI-PA to provide credentials to allow the STI-PA in the other country to read information in the server.  This will allow the other STI-PA to obtain the required information on Trusted CAs. This document does not specify what the STI-PA will do with the information on Trusted CAs.</w:t>
      </w:r>
    </w:p>
    <w:p w14:paraId="3B8892EC" w14:textId="77777777" w:rsidR="00690E7D" w:rsidRPr="00690E7D" w:rsidRDefault="00690E7D" w:rsidP="008D23FE">
      <w:bookmarkStart w:id="61" w:name="_GoBack"/>
      <w:bookmarkEnd w:id="61"/>
    </w:p>
    <w:p w14:paraId="2A956E3D" w14:textId="1BBDCE4C" w:rsidR="00597109" w:rsidRDefault="00597109" w:rsidP="00597109"/>
    <w:p w14:paraId="1440CA76" w14:textId="6AD4A9CE" w:rsidR="00E160B9" w:rsidRDefault="00E160B9" w:rsidP="00597109">
      <w:r>
        <w:rPr>
          <w:noProof/>
        </w:rPr>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p>
    <w:p w14:paraId="6E392C86" w14:textId="142C7F33" w:rsidR="00597109" w:rsidRDefault="00597109" w:rsidP="00597109">
      <w:pPr>
        <w:pStyle w:val="Caption"/>
        <w:jc w:val="both"/>
      </w:pPr>
      <w:r>
        <w:t xml:space="preserve">Figure </w:t>
      </w:r>
      <w:r w:rsidR="00031CCF">
        <w:t>8</w:t>
      </w:r>
      <w:r>
        <w:t xml:space="preserve">: Trusted STI-CA </w:t>
      </w:r>
      <w:r w:rsidR="00C15A7E">
        <w:t>Servers</w:t>
      </w:r>
    </w:p>
    <w:p w14:paraId="230472BA" w14:textId="672EA9A7" w:rsidR="00AF6C72" w:rsidRDefault="00AF6C72" w:rsidP="00597109"/>
    <w:p w14:paraId="042F4FDA" w14:textId="30C74320" w:rsidR="00AF6C72" w:rsidRDefault="00AF6C72" w:rsidP="00597109">
      <w:r>
        <w:t xml:space="preserve">Each STI-PA is 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62" w:name="_Toc11424228"/>
      <w:bookmarkStart w:id="63" w:name="_Toc11424229"/>
      <w:bookmarkEnd w:id="62"/>
      <w:r>
        <w:t>Server</w:t>
      </w:r>
      <w:bookmarkEnd w:id="63"/>
    </w:p>
    <w:p w14:paraId="56024651" w14:textId="484A0D68" w:rsidR="003E5DFB" w:rsidRDefault="003E5DFB" w:rsidP="00576F2F"/>
    <w:p w14:paraId="098EE27A" w14:textId="2D6A9720" w:rsidR="00762589" w:rsidRDefault="00762589" w:rsidP="002A6B2B">
      <w:r>
        <w:lastRenderedPageBreak/>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 xml:space="preserve">Each root certificate must include the country code in the Subject and Issuer Name to uniquely identify the country associated with the STI-PA that approved the addition of the root certificate to the list of Trusted </w:t>
      </w:r>
      <w:proofErr w:type="spellStart"/>
      <w:r w:rsidR="00762589">
        <w:t>STi</w:t>
      </w:r>
      <w:proofErr w:type="spellEnd"/>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64" w:name="_Toc11424230"/>
      <w:r>
        <w:t>Interface to Server</w:t>
      </w:r>
      <w:bookmarkStart w:id="65" w:name="_Toc11424231"/>
      <w:bookmarkEnd w:id="64"/>
      <w:bookmarkEnd w:id="65"/>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66" w:name="_Toc11424232"/>
      <w:r>
        <w:t>Procedures to Update Server</w:t>
      </w:r>
      <w:bookmarkEnd w:id="66"/>
    </w:p>
    <w:p w14:paraId="1410388C" w14:textId="7D359BF1"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STI-GA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673DDDBC" w14:textId="4D55FEB1" w:rsidR="00826D0C" w:rsidRDefault="00125045" w:rsidP="00826D0C">
      <w:r>
        <w:t xml:space="preserve">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67" w:name="_Toc11424233"/>
      <w:proofErr w:type="gramStart"/>
      <w:r>
        <w:t>A</w:t>
      </w:r>
      <w:proofErr w:type="gramEnd"/>
      <w:r>
        <w:tab/>
        <w:t>Annex Title</w:t>
      </w:r>
      <w:bookmarkEnd w:id="67"/>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92F1" w14:textId="77777777" w:rsidR="001D0586" w:rsidRDefault="001D0586">
      <w:r>
        <w:separator/>
      </w:r>
    </w:p>
  </w:endnote>
  <w:endnote w:type="continuationSeparator" w:id="0">
    <w:p w14:paraId="0C454F28" w14:textId="77777777" w:rsidR="001D0586" w:rsidRDefault="001D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FF40" w14:textId="77777777" w:rsidR="001D0586" w:rsidRDefault="001D0586">
      <w:r>
        <w:separator/>
      </w:r>
    </w:p>
  </w:footnote>
  <w:footnote w:type="continuationSeparator" w:id="0">
    <w:p w14:paraId="669AFA38" w14:textId="77777777" w:rsidR="001D0586" w:rsidRDefault="001D0586">
      <w:r>
        <w:continuationSeparator/>
      </w:r>
    </w:p>
  </w:footnote>
  <w:footnote w:id="1">
    <w:p w14:paraId="55E84F04" w14:textId="77777777" w:rsidR="0061550E" w:rsidRDefault="0061550E"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61550E" w:rsidRDefault="0061550E"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61550E" w:rsidRDefault="0061550E"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61550E" w:rsidRDefault="0061550E"/>
  <w:p w14:paraId="51E8CAEB" w14:textId="77777777" w:rsidR="0061550E" w:rsidRDefault="00615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61550E" w:rsidRPr="00D82162" w:rsidRDefault="0061550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61550E" w:rsidRDefault="006155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61550E" w:rsidRPr="00BC47C9" w:rsidRDefault="006155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61550E" w:rsidRPr="00BC47C9" w:rsidRDefault="0061550E">
    <w:pPr>
      <w:pStyle w:val="BANNER1"/>
      <w:spacing w:before="120"/>
      <w:rPr>
        <w:rFonts w:ascii="Arial" w:hAnsi="Arial" w:cs="Arial"/>
        <w:sz w:val="24"/>
      </w:rPr>
    </w:pPr>
    <w:r w:rsidRPr="00BC47C9">
      <w:rPr>
        <w:rFonts w:ascii="Arial" w:hAnsi="Arial" w:cs="Arial"/>
        <w:sz w:val="24"/>
      </w:rPr>
      <w:t>ATIS Standard on –</w:t>
    </w:r>
  </w:p>
  <w:p w14:paraId="51E8CAF1" w14:textId="77777777" w:rsidR="0061550E" w:rsidRPr="00BC47C9" w:rsidRDefault="0061550E">
    <w:pPr>
      <w:pStyle w:val="BANNER1"/>
      <w:spacing w:before="120"/>
      <w:rPr>
        <w:rFonts w:ascii="Arial" w:hAnsi="Arial" w:cs="Arial"/>
        <w:sz w:val="24"/>
      </w:rPr>
    </w:pPr>
  </w:p>
  <w:p w14:paraId="51E8CAF2" w14:textId="3E3ADE08" w:rsidR="0061550E" w:rsidRPr="00BC47C9" w:rsidRDefault="0061550E">
    <w:pPr>
      <w:ind w:right="-288"/>
      <w:jc w:val="left"/>
      <w:outlineLvl w:val="0"/>
      <w:rPr>
        <w:rFonts w:cs="Arial"/>
        <w:bCs/>
        <w:iCs/>
        <w:sz w:val="36"/>
      </w:rPr>
    </w:pPr>
    <w:r>
      <w:rPr>
        <w:rFonts w:cs="Arial"/>
        <w:bCs/>
        <w:sz w:val="36"/>
      </w:rPr>
      <w:t>Considerations for Cross-Border SHAKEN</w:t>
    </w:r>
  </w:p>
  <w:p w14:paraId="51E8CAF3" w14:textId="77777777" w:rsidR="0061550E" w:rsidRPr="00BC47C9" w:rsidRDefault="006155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2"/>
  </w:num>
  <w:num w:numId="15">
    <w:abstractNumId w:val="25"/>
  </w:num>
  <w:num w:numId="16">
    <w:abstractNumId w:val="19"/>
  </w:num>
  <w:num w:numId="17">
    <w:abstractNumId w:val="23"/>
  </w:num>
  <w:num w:numId="18">
    <w:abstractNumId w:val="9"/>
  </w:num>
  <w:num w:numId="19">
    <w:abstractNumId w:val="21"/>
  </w:num>
  <w:num w:numId="20">
    <w:abstractNumId w:val="10"/>
  </w:num>
  <w:num w:numId="21">
    <w:abstractNumId w:val="15"/>
  </w:num>
  <w:num w:numId="22">
    <w:abstractNumId w:val="18"/>
  </w:num>
  <w:num w:numId="23">
    <w:abstractNumId w:val="12"/>
  </w:num>
  <w:num w:numId="24">
    <w:abstractNumId w:val="24"/>
  </w:num>
  <w:num w:numId="25">
    <w:abstractNumId w:val="14"/>
  </w:num>
  <w:num w:numId="26">
    <w:abstractNumId w:val="24"/>
  </w:num>
  <w:num w:numId="27">
    <w:abstractNumId w:val="24"/>
  </w:num>
  <w:num w:numId="28">
    <w:abstractNumId w:val="24"/>
  </w:num>
  <w:num w:numId="29">
    <w:abstractNumId w:val="27"/>
  </w:num>
  <w:num w:numId="30">
    <w:abstractNumId w:val="17"/>
  </w:num>
  <w:num w:numId="31">
    <w:abstractNumId w:val="16"/>
  </w:num>
  <w:num w:numId="32">
    <w:abstractNumId w:val="13"/>
  </w:num>
  <w:num w:numId="33">
    <w:abstractNumId w:val="30"/>
  </w:num>
  <w:num w:numId="3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21A3"/>
    <w:rsid w:val="00005FFE"/>
    <w:rsid w:val="00007F87"/>
    <w:rsid w:val="00020E22"/>
    <w:rsid w:val="00026D83"/>
    <w:rsid w:val="00030A35"/>
    <w:rsid w:val="00031CCF"/>
    <w:rsid w:val="000406B2"/>
    <w:rsid w:val="000456E5"/>
    <w:rsid w:val="0005607D"/>
    <w:rsid w:val="00066731"/>
    <w:rsid w:val="0007202E"/>
    <w:rsid w:val="00076F31"/>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0188"/>
    <w:rsid w:val="00311CE2"/>
    <w:rsid w:val="00313711"/>
    <w:rsid w:val="0032198C"/>
    <w:rsid w:val="00324C4D"/>
    <w:rsid w:val="0033255D"/>
    <w:rsid w:val="00335111"/>
    <w:rsid w:val="00362F3B"/>
    <w:rsid w:val="00363B8E"/>
    <w:rsid w:val="00374802"/>
    <w:rsid w:val="003765DF"/>
    <w:rsid w:val="00377291"/>
    <w:rsid w:val="0039357C"/>
    <w:rsid w:val="003A4522"/>
    <w:rsid w:val="003B48E0"/>
    <w:rsid w:val="003C11F6"/>
    <w:rsid w:val="003D0542"/>
    <w:rsid w:val="003D7888"/>
    <w:rsid w:val="003E5DFB"/>
    <w:rsid w:val="003F578E"/>
    <w:rsid w:val="0040352C"/>
    <w:rsid w:val="00415B17"/>
    <w:rsid w:val="00424AF1"/>
    <w:rsid w:val="00431FA6"/>
    <w:rsid w:val="004337FF"/>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7134E"/>
    <w:rsid w:val="00672A5E"/>
    <w:rsid w:val="00673F5F"/>
    <w:rsid w:val="00674553"/>
    <w:rsid w:val="00686C71"/>
    <w:rsid w:val="00690E7D"/>
    <w:rsid w:val="006962D0"/>
    <w:rsid w:val="006B63D2"/>
    <w:rsid w:val="006C0416"/>
    <w:rsid w:val="006C1E18"/>
    <w:rsid w:val="006C5262"/>
    <w:rsid w:val="006C713C"/>
    <w:rsid w:val="006D2C4F"/>
    <w:rsid w:val="006E605A"/>
    <w:rsid w:val="006F12CE"/>
    <w:rsid w:val="006F3465"/>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F07E2"/>
    <w:rsid w:val="008F6942"/>
    <w:rsid w:val="009114B8"/>
    <w:rsid w:val="00924954"/>
    <w:rsid w:val="00930CEE"/>
    <w:rsid w:val="00964D80"/>
    <w:rsid w:val="00984016"/>
    <w:rsid w:val="00987D79"/>
    <w:rsid w:val="00996681"/>
    <w:rsid w:val="009A6EC3"/>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5E65"/>
    <w:rsid w:val="00B7785A"/>
    <w:rsid w:val="00B86CCE"/>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40AD"/>
    <w:rsid w:val="00C71274"/>
    <w:rsid w:val="00C75CB2"/>
    <w:rsid w:val="00C91E21"/>
    <w:rsid w:val="00CA08A0"/>
    <w:rsid w:val="00CB3FFF"/>
    <w:rsid w:val="00CC23D6"/>
    <w:rsid w:val="00CE1B6D"/>
    <w:rsid w:val="00CE2F0E"/>
    <w:rsid w:val="00CF25E2"/>
    <w:rsid w:val="00CF4FA0"/>
    <w:rsid w:val="00D014B9"/>
    <w:rsid w:val="00D044DC"/>
    <w:rsid w:val="00D04B24"/>
    <w:rsid w:val="00D06987"/>
    <w:rsid w:val="00D25C5C"/>
    <w:rsid w:val="00D31261"/>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36B7"/>
    <w:rsid w:val="00EC664C"/>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00C2-B637-4FCE-9FE3-A1664EFB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18585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6</cp:revision>
  <dcterms:created xsi:type="dcterms:W3CDTF">2019-06-14T21:13:00Z</dcterms:created>
  <dcterms:modified xsi:type="dcterms:W3CDTF">2019-06-14T21:19:00Z</dcterms:modified>
</cp:coreProperties>
</file>