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305AEB0B" w:rsidR="00A04AFF" w:rsidRDefault="009A5E44" w:rsidP="00C308A6">
      <w:pPr>
        <w:ind w:right="-288"/>
        <w:jc w:val="center"/>
        <w:outlineLvl w:val="0"/>
        <w:rPr>
          <w:rFonts w:cs="Arial"/>
          <w:b/>
          <w:bCs/>
          <w:iCs/>
          <w:sz w:val="36"/>
        </w:rPr>
      </w:pPr>
      <w:r>
        <w:rPr>
          <w:rFonts w:cs="Arial"/>
          <w:b/>
          <w:bCs/>
          <w:iCs/>
          <w:sz w:val="36"/>
        </w:rPr>
        <w:t xml:space="preserve">Best Current Practices on </w:t>
      </w:r>
      <w:r w:rsidR="00376DE6">
        <w:rPr>
          <w:rFonts w:cs="Arial"/>
          <w:b/>
          <w:bCs/>
          <w:iCs/>
          <w:sz w:val="36"/>
        </w:rPr>
        <w:t xml:space="preserve">the protection of </w:t>
      </w:r>
      <w:r>
        <w:rPr>
          <w:rFonts w:cs="Arial"/>
          <w:b/>
          <w:bCs/>
          <w:iCs/>
          <w:sz w:val="36"/>
        </w:rPr>
        <w:t>STIR/</w:t>
      </w:r>
      <w:r w:rsidR="00791166">
        <w:rPr>
          <w:rFonts w:cs="Arial"/>
          <w:b/>
          <w:bCs/>
          <w:iCs/>
          <w:sz w:val="36"/>
        </w:rPr>
        <w:t>SHAKEN</w:t>
      </w:r>
      <w:r w:rsidR="00BD4BD4">
        <w:rPr>
          <w:rFonts w:cs="Arial"/>
          <w:b/>
          <w:bCs/>
          <w:iCs/>
          <w:sz w:val="36"/>
        </w:rPr>
        <w:t xml:space="preserve"> </w:t>
      </w:r>
      <w:r w:rsidR="00791166">
        <w:rPr>
          <w:rFonts w:cs="Arial"/>
          <w:b/>
          <w:bCs/>
          <w:iCs/>
          <w:sz w:val="36"/>
        </w:rPr>
        <w:t>data</w:t>
      </w:r>
      <w:r w:rsidR="00507ABD">
        <w:rPr>
          <w:rFonts w:cs="Arial"/>
          <w:b/>
          <w:bCs/>
          <w:iCs/>
          <w:sz w:val="36"/>
        </w:rPr>
        <w:t xml:space="preserve"> between </w:t>
      </w:r>
      <w:r w:rsidR="00791166">
        <w:rPr>
          <w:rFonts w:cs="Arial"/>
          <w:b/>
          <w:bCs/>
          <w:iCs/>
          <w:sz w:val="36"/>
        </w:rPr>
        <w:t>service</w:t>
      </w:r>
      <w:r w:rsidR="00EE4F2F">
        <w:rPr>
          <w:rFonts w:cs="Arial"/>
          <w:b/>
          <w:bCs/>
          <w:iCs/>
          <w:sz w:val="36"/>
        </w:rPr>
        <w:t xml:space="preserve"> </w:t>
      </w:r>
      <w:r w:rsidR="00791166">
        <w:rPr>
          <w:rFonts w:cs="Arial"/>
          <w:b/>
          <w:bCs/>
          <w:iCs/>
          <w:sz w:val="36"/>
        </w:rPr>
        <w:t>p</w:t>
      </w:r>
      <w:r w:rsidR="00EE4F2F">
        <w:rPr>
          <w:rFonts w:cs="Arial"/>
          <w:b/>
          <w:bCs/>
          <w:iCs/>
          <w:sz w:val="36"/>
        </w:rPr>
        <w:t>rovider</w:t>
      </w:r>
      <w:r w:rsidR="00791166">
        <w:rPr>
          <w:rFonts w:cs="Arial"/>
          <w:b/>
          <w:bCs/>
          <w:iCs/>
          <w:sz w:val="36"/>
        </w:rPr>
        <w:t xml:space="preserve">s </w:t>
      </w:r>
      <w:r w:rsidR="00BD4BD4">
        <w:rPr>
          <w:rFonts w:cs="Arial"/>
          <w:b/>
          <w:bCs/>
          <w:iCs/>
          <w:sz w:val="36"/>
        </w:rPr>
        <w:t xml:space="preserve">and </w:t>
      </w:r>
      <w:r w:rsidR="00B93C76">
        <w:rPr>
          <w:rFonts w:cs="Arial"/>
          <w:b/>
          <w:bCs/>
          <w:iCs/>
          <w:sz w:val="36"/>
        </w:rPr>
        <w:t xml:space="preserve">from service providers to </w:t>
      </w:r>
      <w:r w:rsidR="00791166">
        <w:rPr>
          <w:rFonts w:cs="Arial"/>
          <w:b/>
          <w:bCs/>
          <w:iCs/>
          <w:sz w:val="36"/>
        </w:rPr>
        <w:t>enterprises</w:t>
      </w:r>
    </w:p>
    <w:p w14:paraId="26A01480" w14:textId="30994B07" w:rsidR="00590C1B" w:rsidRPr="006F12CE" w:rsidRDefault="00590C1B" w:rsidP="00C308A6">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885F731" w:rsidR="00590C1B" w:rsidRDefault="00AD6EB0">
      <w:r>
        <w:t xml:space="preserve">This </w:t>
      </w:r>
      <w:r w:rsidR="00B93C76">
        <w:t xml:space="preserve">Recommendation </w:t>
      </w:r>
      <w:r w:rsidR="00791166">
        <w:t>explores</w:t>
      </w:r>
      <w:r w:rsidR="005E2425">
        <w:t xml:space="preserve"> </w:t>
      </w:r>
      <w:r w:rsidR="00791166">
        <w:t xml:space="preserve">requirements for, and </w:t>
      </w:r>
      <w:r w:rsidR="005E2425">
        <w:t xml:space="preserve">mechanisms </w:t>
      </w:r>
      <w:r w:rsidR="00791166">
        <w:t>of, data exchange between</w:t>
      </w:r>
      <w:r>
        <w:t xml:space="preserve"> </w:t>
      </w:r>
      <w:r w:rsidR="00791166">
        <w:t xml:space="preserve">service providers and </w:t>
      </w:r>
      <w:r w:rsidR="00B93C76">
        <w:t xml:space="preserve">from service providers to </w:t>
      </w:r>
      <w:r w:rsidR="00791166">
        <w:t xml:space="preserve">enterprises in the context of the </w:t>
      </w:r>
      <w:r w:rsidR="009A417B">
        <w:t>STIR/</w:t>
      </w:r>
      <w:r w:rsidR="00791166">
        <w:t>SHAKEN framework.</w:t>
      </w:r>
      <w:r>
        <w:t xml:space="preserve"> </w:t>
      </w:r>
      <w:r w:rsidR="00F81A05">
        <w:t xml:space="preserve"> This Recommendation describes a</w:t>
      </w:r>
      <w:r w:rsidR="009A417B">
        <w:t>n</w:t>
      </w:r>
      <w:r w:rsidR="00F81A05">
        <w:t xml:space="preserve"> industry level consensus on how those data elements should be protected in transit.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5A6162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1F227D">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170AD94D"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sidR="00376DE6">
        <w:rPr>
          <w:rFonts w:cs="Arial"/>
          <w:sz w:val="18"/>
        </w:rPr>
        <w:t xml:space="preserve">IP NNI </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03E017E6"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608"/>
        <w:gridCol w:w="3904"/>
        <w:gridCol w:w="2047"/>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6D78697" w:rsidR="007E23D3" w:rsidRPr="007E23D3" w:rsidRDefault="009A5E44" w:rsidP="00572688">
            <w:pPr>
              <w:rPr>
                <w:rFonts w:cs="Arial"/>
                <w:sz w:val="18"/>
                <w:szCs w:val="18"/>
              </w:rPr>
            </w:pPr>
            <w:r>
              <w:rPr>
                <w:rFonts w:cs="Arial"/>
                <w:sz w:val="18"/>
                <w:szCs w:val="18"/>
              </w:rPr>
              <w:t>March 15m 2019</w:t>
            </w:r>
          </w:p>
        </w:tc>
        <w:tc>
          <w:tcPr>
            <w:tcW w:w="1634" w:type="dxa"/>
          </w:tcPr>
          <w:p w14:paraId="1FCD4BA8" w14:textId="399E2177" w:rsidR="009A5E44" w:rsidRPr="007E23D3" w:rsidRDefault="009A5E44" w:rsidP="00572688">
            <w:pPr>
              <w:rPr>
                <w:rFonts w:cs="Arial"/>
                <w:sz w:val="18"/>
                <w:szCs w:val="18"/>
              </w:rPr>
            </w:pPr>
            <w:r>
              <w:rPr>
                <w:rFonts w:cs="Arial"/>
                <w:sz w:val="18"/>
                <w:szCs w:val="18"/>
              </w:rPr>
              <w:t>1.0</w:t>
            </w:r>
          </w:p>
        </w:tc>
        <w:tc>
          <w:tcPr>
            <w:tcW w:w="4000" w:type="dxa"/>
          </w:tcPr>
          <w:p w14:paraId="21DC2CB2" w14:textId="7259133F" w:rsidR="007E23D3" w:rsidRPr="007E23D3" w:rsidRDefault="007E23D3" w:rsidP="00572688">
            <w:pPr>
              <w:pStyle w:val="CommentSubject"/>
              <w:jc w:val="left"/>
              <w:rPr>
                <w:rFonts w:cs="Arial"/>
                <w:b w:val="0"/>
                <w:sz w:val="18"/>
                <w:szCs w:val="18"/>
              </w:rPr>
            </w:pPr>
          </w:p>
        </w:tc>
        <w:tc>
          <w:tcPr>
            <w:tcW w:w="2088" w:type="dxa"/>
          </w:tcPr>
          <w:p w14:paraId="16AB7924" w14:textId="5C3913BB" w:rsidR="007E23D3" w:rsidRPr="007E23D3" w:rsidRDefault="009A5E44" w:rsidP="00572688">
            <w:pPr>
              <w:jc w:val="left"/>
              <w:rPr>
                <w:rFonts w:cs="Arial"/>
                <w:sz w:val="18"/>
                <w:szCs w:val="18"/>
              </w:rPr>
            </w:pPr>
            <w:r>
              <w:rPr>
                <w:rFonts w:cs="Arial"/>
                <w:sz w:val="18"/>
                <w:szCs w:val="18"/>
              </w:rPr>
              <w:t>Richard Shockey</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r>
        <w:lastRenderedPageBreak/>
        <w:t>Scope, Purpose, &amp; Application</w:t>
      </w:r>
    </w:p>
    <w:p w14:paraId="524B9DED" w14:textId="77777777" w:rsidR="00424AF1" w:rsidRDefault="00424AF1" w:rsidP="00424AF1">
      <w:pPr>
        <w:pStyle w:val="Heading2"/>
      </w:pPr>
      <w:r>
        <w:t>Scope</w:t>
      </w:r>
    </w:p>
    <w:p w14:paraId="65559EC2" w14:textId="67B8ADBE" w:rsidR="003C4D16" w:rsidRDefault="00424016" w:rsidP="008150A7">
      <w:pPr>
        <w:numPr>
          <w:ilvl w:val="0"/>
          <w:numId w:val="35"/>
        </w:numPr>
      </w:pPr>
      <w:r>
        <w:t xml:space="preserve">The </w:t>
      </w:r>
      <w:r w:rsidR="00F81A05">
        <w:t xml:space="preserve">STIR/ </w:t>
      </w:r>
      <w:r w:rsidR="003C4D16">
        <w:t xml:space="preserve">SHAKEN framework provides </w:t>
      </w:r>
      <w:r w:rsidR="001F227D">
        <w:t xml:space="preserve">an </w:t>
      </w:r>
      <w:r w:rsidR="003C4D16">
        <w:t>attestation</w:t>
      </w:r>
      <w:r w:rsidR="001F227D">
        <w:t xml:space="preserve"> level for </w:t>
      </w:r>
      <w:r w:rsidR="003C4D16">
        <w:t>a cal</w:t>
      </w:r>
      <w:r w:rsidR="001F227D">
        <w:t>l, providing a baseline level of trust of the TN making the call</w:t>
      </w:r>
      <w:r w:rsidR="003C4D16">
        <w:t>.</w:t>
      </w:r>
      <w:r w:rsidR="001F227D">
        <w:t xml:space="preserve">  In other words, if a call is fully attested the recipient may be reasonably certain the calling TN is not being spoofed and was generated legally.</w:t>
      </w:r>
      <w:r w:rsidR="003C4D16">
        <w:t xml:space="preserve">   </w:t>
      </w:r>
    </w:p>
    <w:p w14:paraId="2754D3C1" w14:textId="6A7FD417" w:rsidR="00F81A05" w:rsidRDefault="001F227D" w:rsidP="00F81A05">
      <w:pPr>
        <w:numPr>
          <w:ilvl w:val="0"/>
          <w:numId w:val="35"/>
        </w:numPr>
      </w:pPr>
      <w:r>
        <w:t xml:space="preserve">The </w:t>
      </w:r>
      <w:r w:rsidR="00F81A05">
        <w:t>STIR/</w:t>
      </w:r>
      <w:r w:rsidR="003C4D16">
        <w:t xml:space="preserve">SHAKEN </w:t>
      </w:r>
      <w:r>
        <w:t xml:space="preserve">framework does not provide a model for how </w:t>
      </w:r>
      <w:r w:rsidR="00337EF0">
        <w:t>e</w:t>
      </w:r>
      <w:r w:rsidR="003C4D16">
        <w:t xml:space="preserve">nterprise </w:t>
      </w:r>
      <w:r w:rsidR="00337EF0">
        <w:t>SIP based services may consume or portray intent, user identification, and/or surrounding context of a call.</w:t>
      </w:r>
      <w:r w:rsidR="003C4D16">
        <w:t xml:space="preserve"> </w:t>
      </w:r>
      <w:r w:rsidR="00337EF0">
        <w:t>The</w:t>
      </w:r>
      <w:r w:rsidR="003C4D16">
        <w:t xml:space="preserve"> </w:t>
      </w:r>
      <w:r w:rsidR="00F81A05">
        <w:t xml:space="preserve">verification data and well as </w:t>
      </w:r>
      <w:r w:rsidR="003C4D16">
        <w:t xml:space="preserve">data analytics generated by the framework </w:t>
      </w:r>
      <w:r w:rsidR="00337EF0">
        <w:t>could be</w:t>
      </w:r>
      <w:r w:rsidR="003C4D16">
        <w:t xml:space="preserve"> mission </w:t>
      </w:r>
      <w:r w:rsidR="00507ABD">
        <w:t>critical</w:t>
      </w:r>
      <w:r w:rsidR="003C4D16">
        <w:t xml:space="preserve"> to </w:t>
      </w:r>
      <w:r w:rsidR="00507ABD">
        <w:t xml:space="preserve">multiple industries including </w:t>
      </w:r>
      <w:r w:rsidR="00337EF0">
        <w:t>f</w:t>
      </w:r>
      <w:r w:rsidR="00507ABD">
        <w:t xml:space="preserve">inancial </w:t>
      </w:r>
      <w:r w:rsidR="00337EF0">
        <w:t>s</w:t>
      </w:r>
      <w:r w:rsidR="00507ABD">
        <w:t xml:space="preserve">ervices, </w:t>
      </w:r>
      <w:r w:rsidR="00337EF0">
        <w:t>h</w:t>
      </w:r>
      <w:r w:rsidR="00507ABD">
        <w:t xml:space="preserve">ealth </w:t>
      </w:r>
      <w:r w:rsidR="00337EF0">
        <w:t>c</w:t>
      </w:r>
      <w:r w:rsidR="00507ABD">
        <w:t>are</w:t>
      </w:r>
      <w:r w:rsidR="00337EF0">
        <w:t>, consumer services,</w:t>
      </w:r>
      <w:r w:rsidR="00507ABD">
        <w:t xml:space="preserve"> and </w:t>
      </w:r>
      <w:r w:rsidR="00337EF0">
        <w:t>u</w:t>
      </w:r>
      <w:r w:rsidR="00507ABD">
        <w:t>tilities.</w:t>
      </w:r>
      <w:r w:rsidR="00F81A05">
        <w:t xml:space="preserve"> </w:t>
      </w:r>
    </w:p>
    <w:p w14:paraId="61916298" w14:textId="77777777" w:rsidR="009A417B" w:rsidRDefault="00F81A05" w:rsidP="009A417B">
      <w:pPr>
        <w:numPr>
          <w:ilvl w:val="0"/>
          <w:numId w:val="35"/>
        </w:numPr>
      </w:pPr>
      <w:r>
        <w:t>This Recommendation outlines the agreement among service providers that the data generated by the STIR/SHAKEN framework must not be altered in transit in any way shape or form unless specified under specific and defined use cases.</w:t>
      </w:r>
      <w:r w:rsidR="009A417B">
        <w:t xml:space="preserve"> </w:t>
      </w:r>
      <w:r w:rsidR="009A417B">
        <w:t xml:space="preserve">This includes all existing and future </w:t>
      </w:r>
      <w:proofErr w:type="spellStart"/>
      <w:r w:rsidR="009A417B">
        <w:t>PASSport</w:t>
      </w:r>
      <w:proofErr w:type="spellEnd"/>
      <w:r w:rsidR="009A417B">
        <w:t xml:space="preserve"> definitions as well as VERSTAT parameters. </w:t>
      </w:r>
    </w:p>
    <w:p w14:paraId="42B09490" w14:textId="2B048AA1" w:rsidR="00F81A05" w:rsidRDefault="00F81A05" w:rsidP="009A417B">
      <w:pPr>
        <w:numPr>
          <w:ilvl w:val="0"/>
          <w:numId w:val="35"/>
        </w:numPr>
      </w:pPr>
      <w:r>
        <w:t xml:space="preserve">This Recommendation outlines the agreement among terminating service providers that </w:t>
      </w:r>
      <w:r w:rsidR="009A417B">
        <w:t xml:space="preserve">all </w:t>
      </w:r>
      <w:r>
        <w:t xml:space="preserve">the data generated by the STIR/SHAKEN framework should be passed to the </w:t>
      </w:r>
      <w:r w:rsidR="009A417B">
        <w:t xml:space="preserve">User Agent, PBX, </w:t>
      </w:r>
      <w:proofErr w:type="spellStart"/>
      <w:r w:rsidR="009A417B">
        <w:t>UCaaS</w:t>
      </w:r>
      <w:proofErr w:type="spellEnd"/>
      <w:r w:rsidR="009A417B">
        <w:t xml:space="preserve">, or Enterprise centric provider intact and without alteration unless specified under specific and defined use cases. </w:t>
      </w:r>
      <w:r w:rsidR="009A417B">
        <w:t xml:space="preserve">This includes </w:t>
      </w:r>
      <w:r w:rsidR="009A417B">
        <w:t>all existing and future</w:t>
      </w:r>
      <w:r w:rsidR="009A417B">
        <w:t xml:space="preserve"> </w:t>
      </w:r>
      <w:proofErr w:type="spellStart"/>
      <w:r w:rsidR="009A417B">
        <w:t>PASSport</w:t>
      </w:r>
      <w:proofErr w:type="spellEnd"/>
      <w:r w:rsidR="009A417B">
        <w:t xml:space="preserve"> </w:t>
      </w:r>
      <w:r w:rsidR="009A417B">
        <w:t xml:space="preserve">definitions </w:t>
      </w:r>
      <w:r w:rsidR="009A417B">
        <w:t xml:space="preserve">as well as VERSTAT parameters. </w:t>
      </w:r>
    </w:p>
    <w:p w14:paraId="14A5BCDF" w14:textId="06EEDAE1" w:rsidR="00F81A05" w:rsidRDefault="00F81A05" w:rsidP="00F81A05"/>
    <w:p w14:paraId="4B24519D" w14:textId="04744EC3" w:rsidR="000B041B" w:rsidRDefault="000B041B" w:rsidP="000B041B">
      <w:pPr>
        <w:pStyle w:val="Heading2"/>
      </w:pPr>
      <w:r>
        <w:t>Use Case Inter Service Provider</w:t>
      </w:r>
    </w:p>
    <w:p w14:paraId="7CFE4502" w14:textId="41AA6A71" w:rsidR="000B041B" w:rsidRDefault="000B041B" w:rsidP="000B041B"/>
    <w:p w14:paraId="41C24FAF" w14:textId="3469E1C4" w:rsidR="000B041B" w:rsidRPr="000B041B" w:rsidRDefault="000B041B" w:rsidP="000B041B">
      <w:pPr>
        <w:ind w:left="576"/>
      </w:pPr>
      <w:r>
        <w:t xml:space="preserve">Alteration of the STIR/SHAKEN data by intermediary providers would negate the purpose and function of the Framework. </w:t>
      </w:r>
    </w:p>
    <w:p w14:paraId="144F8EC1" w14:textId="77777777" w:rsidR="000B041B" w:rsidRDefault="000B041B" w:rsidP="00F81A05"/>
    <w:p w14:paraId="2AE79C13" w14:textId="77777777" w:rsidR="00F81A05" w:rsidRPr="00F81A05" w:rsidRDefault="00F81A05" w:rsidP="00F81A05"/>
    <w:p w14:paraId="5B89A08F" w14:textId="498E4D8D" w:rsidR="000B041B" w:rsidRPr="000B041B" w:rsidRDefault="000B041B" w:rsidP="000B041B">
      <w:pPr>
        <w:pStyle w:val="Heading2"/>
      </w:pPr>
      <w:r>
        <w:t xml:space="preserve">Use Case </w:t>
      </w:r>
      <w:r>
        <w:t>Enterprise</w:t>
      </w:r>
    </w:p>
    <w:p w14:paraId="176EBAD1" w14:textId="59A8FF6E" w:rsidR="000B041B" w:rsidRDefault="000B041B" w:rsidP="000B041B">
      <w:pPr>
        <w:ind w:left="576"/>
      </w:pPr>
      <w:r>
        <w:t xml:space="preserve">It stands to reason there is a marketplace for data analytics collected by service providers, and/or their analytics partners, to be delivered to the enterprise.  </w:t>
      </w:r>
      <w:r>
        <w:t xml:space="preserve">Enterprise may choose to apply different forms of data </w:t>
      </w:r>
      <w:proofErr w:type="spellStart"/>
      <w:r>
        <w:t>analyitics</w:t>
      </w:r>
      <w:proofErr w:type="spellEnd"/>
      <w:r>
        <w:t xml:space="preserve"> specific to their own industry and apply data it has collected in the data mix necessary to score the call for validity.  </w:t>
      </w:r>
      <w:r>
        <w:t xml:space="preserve">It also stands to reason there is value for enterprises to provide information to service providers to be passed along to a call’s </w:t>
      </w:r>
      <w:r>
        <w:t xml:space="preserve">originator.  [TBD] </w:t>
      </w:r>
    </w:p>
    <w:p w14:paraId="37E1B633" w14:textId="7EB3CBA0" w:rsidR="00F81A05" w:rsidRDefault="00F81A05" w:rsidP="00F81A05"/>
    <w:p w14:paraId="5297B1D5" w14:textId="3BC12AEB" w:rsidR="000B041B" w:rsidRDefault="000B041B" w:rsidP="000B041B">
      <w:pPr>
        <w:ind w:left="576"/>
      </w:pPr>
      <w:r>
        <w:t>[What Framework elements do the enterprises need want?]</w:t>
      </w:r>
    </w:p>
    <w:p w14:paraId="3A8440B9" w14:textId="77777777" w:rsidR="000B041B" w:rsidRDefault="000B041B" w:rsidP="00F81A05"/>
    <w:p w14:paraId="4993B7C2" w14:textId="77777777" w:rsidR="000B041B" w:rsidRDefault="000B041B" w:rsidP="000B041B">
      <w:pPr>
        <w:pStyle w:val="Heading2"/>
      </w:pPr>
      <w:r>
        <w:t>Requirements</w:t>
      </w:r>
    </w:p>
    <w:p w14:paraId="49079D22" w14:textId="77777777" w:rsidR="00F81A05" w:rsidRDefault="00F81A05" w:rsidP="00F81A05"/>
    <w:p w14:paraId="616C89ED" w14:textId="1BF43945" w:rsidR="009A5E44" w:rsidRDefault="009A5E44" w:rsidP="009A5E44"/>
    <w:p w14:paraId="0345BC53" w14:textId="6A2F3AAB" w:rsidR="009A5E44" w:rsidRDefault="009A5E44" w:rsidP="009A5E44">
      <w:pPr>
        <w:pStyle w:val="Heading2"/>
      </w:pPr>
      <w:r>
        <w:t xml:space="preserve"> Existing Statutory Examples</w:t>
      </w:r>
    </w:p>
    <w:p w14:paraId="30EA9541" w14:textId="326C9E01" w:rsidR="00F81A05" w:rsidRDefault="00F81A05" w:rsidP="00F81A05"/>
    <w:p w14:paraId="10E0CE42" w14:textId="55E6578D" w:rsidR="009A417B" w:rsidRPr="009A417B" w:rsidRDefault="00F81A05" w:rsidP="009A417B">
      <w:pPr>
        <w:spacing w:before="0" w:after="0"/>
        <w:jc w:val="left"/>
        <w:rPr>
          <w:rFonts w:cs="Arial"/>
        </w:rPr>
      </w:pPr>
      <w:r>
        <w:lastRenderedPageBreak/>
        <w:t xml:space="preserve">Existing regulatory constructs have traditionally provided a framework for securing call signaling between service providers for the protection of data necessary to bill for a call. </w:t>
      </w:r>
      <w:r w:rsidR="009A417B">
        <w:t xml:space="preserve"> The classic example has been securing the data in either TDM or SIP network necessary for Call Billing </w:t>
      </w:r>
      <w:r w:rsidR="009A417B" w:rsidRPr="009A417B">
        <w:rPr>
          <w:rFonts w:cs="Arial"/>
        </w:rPr>
        <w:t xml:space="preserve">specifically the </w:t>
      </w:r>
      <w:r w:rsidR="009A417B" w:rsidRPr="009A417B">
        <w:rPr>
          <w:rFonts w:cs="Arial"/>
          <w:color w:val="000000"/>
        </w:rPr>
        <w:t>calling party's charge number (CN)</w:t>
      </w:r>
      <w:r w:rsidR="000B041B">
        <w:rPr>
          <w:rFonts w:cs="Arial"/>
          <w:color w:val="000000"/>
        </w:rPr>
        <w:t xml:space="preserve">.  </w:t>
      </w:r>
      <w:bookmarkStart w:id="31" w:name="_GoBack"/>
      <w:bookmarkEnd w:id="31"/>
    </w:p>
    <w:p w14:paraId="0BF65978" w14:textId="53183E6F" w:rsidR="00F81A05" w:rsidRPr="009A417B" w:rsidRDefault="00F81A05" w:rsidP="00F81A05"/>
    <w:p w14:paraId="4683695D" w14:textId="3A6DE4A9" w:rsidR="009A5E44" w:rsidRDefault="009A5E44" w:rsidP="009A5E44"/>
    <w:p w14:paraId="35FBA5B8" w14:textId="1540575E" w:rsidR="009A5E44" w:rsidRPr="009A5E44" w:rsidRDefault="009A5E44" w:rsidP="009A5E44">
      <w:r>
        <w:t>47 USC</w:t>
      </w:r>
      <w:r w:rsidRPr="009A5E44">
        <w:t> §64.1601   Delivery requirements and privacy restrictions.</w:t>
      </w:r>
    </w:p>
    <w:p w14:paraId="1211590A" w14:textId="77777777" w:rsidR="009A5E44" w:rsidRPr="009A5E44" w:rsidRDefault="009A5E44" w:rsidP="009A5E44">
      <w:r w:rsidRPr="009A5E44">
        <w:t>    (a) Delivery. Except as provided in paragraphs (d) and (e) of this section:</w:t>
      </w:r>
    </w:p>
    <w:p w14:paraId="3E919C44" w14:textId="77777777" w:rsidR="009A5E44" w:rsidRPr="009A5E44" w:rsidRDefault="009A5E44" w:rsidP="009A5E44">
      <w:r w:rsidRPr="009A5E44">
        <w:t>    </w:t>
      </w:r>
    </w:p>
    <w:p w14:paraId="7324A90D" w14:textId="77777777" w:rsidR="009A5E44" w:rsidRPr="009A5E44" w:rsidRDefault="009A5E44" w:rsidP="009A5E44">
      <w:r w:rsidRPr="009A5E44">
        <w:t>    (1) Telecommunications carriers and providers of interconnected Voice over Internet Protocol (VoIP) services, in originating interstate or intrastate traffic on the public switched telephone network (PSTN) or originating interstate or intrastate traffic that is destined for the PSTN (collectively “PSTN Traffic”), are required to transmit for all PSTN Traffic the telephone number received from or assigned to or otherwise associated with the calling party to the next provider in the path from the originating provider to the terminating provider. This provision applies regardless of the voice call signaling and transmission technology used by the carrier or VoIP provider. Entities subject to this provision that use Signaling System 7 (SS7) are required to transmit the calling party number (CPN) associated with all PSTN Traffic in the SS7 ISUP (ISDN User Part) CPN field to interconnecting providers, and are required to transmit the calling party's charge number (CN) in the SS7 ISUP CN field to interconnecting providers for any PSTN Traffic where CN differs from CPN. Entities subject to this provision who use multi-frequency (MF) signaling are required to transmit CPN, or CN if it differs from CPN, associated with all PSTN Traffic in the MF signaling automatic numbering information (ANI) field.</w:t>
      </w:r>
    </w:p>
    <w:p w14:paraId="60765B72" w14:textId="77777777" w:rsidR="009A5E44" w:rsidRPr="009A5E44" w:rsidRDefault="009A5E44" w:rsidP="009A5E44">
      <w:r w:rsidRPr="009A5E44">
        <w:t>    </w:t>
      </w:r>
    </w:p>
    <w:p w14:paraId="379F0AD8" w14:textId="77777777" w:rsidR="009A5E44" w:rsidRPr="009A5E44" w:rsidRDefault="009A5E44" w:rsidP="009A5E44">
      <w:r w:rsidRPr="009A5E44">
        <w:t>    (2) Intermediate providers within an interstate or intrastate call path that originates and/or terminates on the PSTN must pass unaltered to subsequent providers in the call path signaling information identifying the telephone number, or billing number, if different, of the calling party that is received with a call. This requirement applies to SS7 information including but not limited to CPN and CN, and also applies to MF signaling information or other signaling information intermediate providers receive with a call. This requirement also applies to VoIP signaling messages, such as calling party and charge information identifiers contained in Session Initiation Protocol (SIP) header fields, and to equivalent identifying information as used in other VoIP signaling technologies, regardless of the voice call signaling and transmission technology used by the carrier or VoIP provider.</w:t>
      </w:r>
    </w:p>
    <w:p w14:paraId="6B6FBF8E" w14:textId="77777777" w:rsidR="009A5E44" w:rsidRPr="009A5E44" w:rsidRDefault="009A5E44" w:rsidP="009A5E44">
      <w:r w:rsidRPr="009A5E44">
        <w:t>    </w:t>
      </w:r>
    </w:p>
    <w:p w14:paraId="3914A88B" w14:textId="77777777" w:rsidR="009A5E44" w:rsidRPr="009A5E44" w:rsidRDefault="009A5E44" w:rsidP="009A5E44">
      <w:r w:rsidRPr="009A5E44">
        <w:t xml:space="preserve">    (b) Privacy. Except as provided in paragraph (d) of this section, originating carriers using Signaling System 7 and offering or subscribing to any service based on Signaling System 7 functionality will recognize *67 dialed as the first three digits of a call (or 1167 for rotary or pulse dialing phones) as a caller's request that the CPN not be passed on an interstate call. Such carriers providing line blocking services will recognize *82 as a caller's request that the CPN be passed on an interstate call. No common carrier subscribing to or offering any service that delivers CPN may override the privacy indicator associated with an interstate call. Carriers must arrange their CPN-based services, and billing practices, in such a manner that when a caller requests that the CPN not be passed, a carrier may not reveal that caller's number or name, nor may the carrier use the number or name to allow the called party to contact the calling party. The terminating carrier must act in accordance with the privacy indicator unless the call is made to a called party that subscribes to an ANI or charge </w:t>
      </w:r>
      <w:proofErr w:type="gramStart"/>
      <w:r w:rsidRPr="009A5E44">
        <w:t>number based</w:t>
      </w:r>
      <w:proofErr w:type="gramEnd"/>
      <w:r w:rsidRPr="009A5E44">
        <w:t xml:space="preserve"> service and the call is paid for by the called party.</w:t>
      </w:r>
    </w:p>
    <w:p w14:paraId="68929D02" w14:textId="77777777" w:rsidR="009A5E44" w:rsidRPr="009A5E44" w:rsidRDefault="009A5E44" w:rsidP="009A5E44">
      <w:r w:rsidRPr="009A5E44">
        <w:t>    </w:t>
      </w:r>
    </w:p>
    <w:p w14:paraId="5B9E3EA0" w14:textId="77777777" w:rsidR="009A5E44" w:rsidRPr="009A5E44" w:rsidRDefault="009A5E44" w:rsidP="009A5E44">
      <w:r w:rsidRPr="009A5E44">
        <w:t>    (c) Charges. No common carrier subscribing to or offering any service that delivers calling party number may</w:t>
      </w:r>
    </w:p>
    <w:p w14:paraId="60D5655A" w14:textId="77777777" w:rsidR="009A5E44" w:rsidRPr="009A5E44" w:rsidRDefault="009A5E44" w:rsidP="009A5E44">
      <w:r w:rsidRPr="009A5E44">
        <w:t>    </w:t>
      </w:r>
    </w:p>
    <w:p w14:paraId="759E16BE" w14:textId="77777777" w:rsidR="009A5E44" w:rsidRPr="009A5E44" w:rsidRDefault="009A5E44" w:rsidP="009A5E44">
      <w:r w:rsidRPr="009A5E44">
        <w:t>    (1) Impose on the calling party charges associated with per call blocking of the calling party's telephone number, or</w:t>
      </w:r>
    </w:p>
    <w:p w14:paraId="4CDB6A30" w14:textId="77777777" w:rsidR="009A5E44" w:rsidRPr="009A5E44" w:rsidRDefault="009A5E44" w:rsidP="009A5E44">
      <w:r w:rsidRPr="009A5E44">
        <w:t>    </w:t>
      </w:r>
    </w:p>
    <w:p w14:paraId="18859453" w14:textId="77777777" w:rsidR="009A5E44" w:rsidRPr="009A5E44" w:rsidRDefault="009A5E44" w:rsidP="009A5E44">
      <w:r w:rsidRPr="009A5E44">
        <w:t>    (2) Impose charges upon connecting carriers for the delivery of the calling party number parameter or its associated privacy indicator.</w:t>
      </w:r>
    </w:p>
    <w:p w14:paraId="5797E24F" w14:textId="77777777" w:rsidR="009A5E44" w:rsidRPr="009A5E44" w:rsidRDefault="009A5E44" w:rsidP="009A5E44">
      <w:r w:rsidRPr="009A5E44">
        <w:t>    </w:t>
      </w:r>
    </w:p>
    <w:p w14:paraId="78D1C657" w14:textId="77777777" w:rsidR="009A5E44" w:rsidRPr="009A5E44" w:rsidRDefault="009A5E44" w:rsidP="009A5E44">
      <w:r w:rsidRPr="009A5E44">
        <w:lastRenderedPageBreak/>
        <w:t>    (d) Exemptions. Section 64.1601(a) and (b) shall not apply when:</w:t>
      </w:r>
    </w:p>
    <w:p w14:paraId="22B2E90D" w14:textId="77777777" w:rsidR="009A5E44" w:rsidRPr="009A5E44" w:rsidRDefault="009A5E44" w:rsidP="009A5E44">
      <w:r w:rsidRPr="009A5E44">
        <w:t>    </w:t>
      </w:r>
    </w:p>
    <w:p w14:paraId="44A34B80" w14:textId="77777777" w:rsidR="009A5E44" w:rsidRPr="009A5E44" w:rsidRDefault="009A5E44" w:rsidP="009A5E44">
      <w:r w:rsidRPr="009A5E44">
        <w:t>    (1) A call originates from a payphone.</w:t>
      </w:r>
    </w:p>
    <w:p w14:paraId="479434AF" w14:textId="77777777" w:rsidR="009A5E44" w:rsidRPr="009A5E44" w:rsidRDefault="009A5E44" w:rsidP="009A5E44">
      <w:r w:rsidRPr="009A5E44">
        <w:t>    </w:t>
      </w:r>
    </w:p>
    <w:p w14:paraId="1BB5E67B" w14:textId="77777777" w:rsidR="009A5E44" w:rsidRPr="009A5E44" w:rsidRDefault="009A5E44" w:rsidP="009A5E44">
      <w:r w:rsidRPr="009A5E44">
        <w:t>    (2) A local exchange carrier with Signaling System 7 capability does not have the software to provide *67 or *82 functionalities. Such carriers are prohibited from passing CPN.</w:t>
      </w:r>
    </w:p>
    <w:p w14:paraId="2C57CC69" w14:textId="77777777" w:rsidR="009A5E44" w:rsidRPr="009A5E44" w:rsidRDefault="009A5E44" w:rsidP="009A5E44">
      <w:r w:rsidRPr="009A5E44">
        <w:t>    </w:t>
      </w:r>
    </w:p>
    <w:p w14:paraId="3F4995D0" w14:textId="77777777" w:rsidR="009A5E44" w:rsidRPr="009A5E44" w:rsidRDefault="009A5E44" w:rsidP="009A5E44">
      <w:r w:rsidRPr="009A5E44">
        <w:t>    (3) A Private Branch Exchange or Centrex system does not pass end user CPN. Centrex systems that rely on *6 or *8 for a function other than CPN blocking or unblocking, respectively, are also exempt if they employ alternative means of blocking or unblocking.</w:t>
      </w:r>
    </w:p>
    <w:p w14:paraId="050512D9" w14:textId="77777777" w:rsidR="009A5E44" w:rsidRPr="009A5E44" w:rsidRDefault="009A5E44" w:rsidP="009A5E44">
      <w:r w:rsidRPr="009A5E44">
        <w:t>    </w:t>
      </w:r>
    </w:p>
    <w:p w14:paraId="2EB0D0D8" w14:textId="77777777" w:rsidR="009A5E44" w:rsidRPr="009A5E44" w:rsidRDefault="009A5E44" w:rsidP="009A5E44">
      <w:r w:rsidRPr="009A5E44">
        <w:t>    (4) CPN delivery—</w:t>
      </w:r>
    </w:p>
    <w:p w14:paraId="5048C948" w14:textId="77777777" w:rsidR="009A5E44" w:rsidRPr="009A5E44" w:rsidRDefault="009A5E44" w:rsidP="009A5E44">
      <w:r w:rsidRPr="009A5E44">
        <w:t>    </w:t>
      </w:r>
    </w:p>
    <w:p w14:paraId="135EAEB1" w14:textId="77777777" w:rsidR="009A5E44" w:rsidRPr="009A5E44" w:rsidRDefault="009A5E44" w:rsidP="009A5E44">
      <w:r w:rsidRPr="009A5E44">
        <w:t>    (</w:t>
      </w:r>
      <w:proofErr w:type="spellStart"/>
      <w:r w:rsidRPr="009A5E44">
        <w:t>i</w:t>
      </w:r>
      <w:proofErr w:type="spellEnd"/>
      <w:r w:rsidRPr="009A5E44">
        <w:t>) Is used solely in connection with calls within the same limited system, including (but not limited to) a Centrex system, virtual private network, or Private Branch Exchange;</w:t>
      </w:r>
    </w:p>
    <w:p w14:paraId="3260867B" w14:textId="77777777" w:rsidR="009A5E44" w:rsidRPr="009A5E44" w:rsidRDefault="009A5E44" w:rsidP="009A5E44">
      <w:r w:rsidRPr="009A5E44">
        <w:t>    </w:t>
      </w:r>
    </w:p>
    <w:p w14:paraId="3C13EFC8" w14:textId="77777777" w:rsidR="009A5E44" w:rsidRPr="009A5E44" w:rsidRDefault="009A5E44" w:rsidP="009A5E44">
      <w:r w:rsidRPr="009A5E44">
        <w:t>    (ii) Is used on a public agency's emergency telephone line or in conjunction with 911 emergency services, on a telephone line to contact non-public emergency services licensed by the state or municipality, or on any entity's emergency assistance poison control telephone line; or</w:t>
      </w:r>
    </w:p>
    <w:p w14:paraId="63E28FFD" w14:textId="77777777" w:rsidR="009A5E44" w:rsidRPr="009A5E44" w:rsidRDefault="009A5E44" w:rsidP="009A5E44">
      <w:r w:rsidRPr="009A5E44">
        <w:t>    </w:t>
      </w:r>
    </w:p>
    <w:p w14:paraId="05BACFEE" w14:textId="77777777" w:rsidR="009A5E44" w:rsidRPr="009A5E44" w:rsidRDefault="009A5E44" w:rsidP="009A5E44">
      <w:r w:rsidRPr="009A5E44">
        <w:t>    (iii) Is provided in connection with legally authorized call tracing or trapping procedures specifically requested by a law enforcement agency.</w:t>
      </w:r>
    </w:p>
    <w:p w14:paraId="6AC789F7" w14:textId="77777777" w:rsidR="009A5E44" w:rsidRPr="009A5E44" w:rsidRDefault="009A5E44" w:rsidP="009A5E44">
      <w:r w:rsidRPr="009A5E44">
        <w:t>    </w:t>
      </w:r>
    </w:p>
    <w:p w14:paraId="0404C4E4" w14:textId="77777777" w:rsidR="009A5E44" w:rsidRPr="009A5E44" w:rsidRDefault="009A5E44" w:rsidP="009A5E44">
      <w:r w:rsidRPr="009A5E44">
        <w:t>    (e) Any person or entity that engages in telemarketing, as defined in section 64.1200(f)(10) must transmit caller identification information.</w:t>
      </w:r>
    </w:p>
    <w:p w14:paraId="4602118E" w14:textId="77777777" w:rsidR="009A5E44" w:rsidRPr="009A5E44" w:rsidRDefault="009A5E44" w:rsidP="009A5E44">
      <w:r w:rsidRPr="009A5E44">
        <w:t>    </w:t>
      </w:r>
    </w:p>
    <w:p w14:paraId="58684D4D" w14:textId="77777777" w:rsidR="009A5E44" w:rsidRPr="009A5E44" w:rsidRDefault="009A5E44" w:rsidP="009A5E44">
      <w:r w:rsidRPr="009A5E44">
        <w:t>    (1) For purposes of this paragraph, caller identification information must include either CPN or ANI, and, when available by the telemarketer's carrier, the name of the telemarketer. It shall not be a violation of this paragraph to substitute (for the name and phone number used in, or billed for, making the call) the name of the seller on behalf of which the telemarketing call is placed and the seller's customer service telephone number. The telephone number so provided must permit any individual to make a do-not-call request during regular business hours.</w:t>
      </w:r>
    </w:p>
    <w:p w14:paraId="346A5F36" w14:textId="77777777" w:rsidR="009A5E44" w:rsidRPr="009A5E44" w:rsidRDefault="009A5E44" w:rsidP="009A5E44">
      <w:r w:rsidRPr="009A5E44">
        <w:t>    </w:t>
      </w:r>
    </w:p>
    <w:p w14:paraId="6FD36518" w14:textId="77777777" w:rsidR="009A5E44" w:rsidRPr="009A5E44" w:rsidRDefault="009A5E44" w:rsidP="009A5E44">
      <w:r w:rsidRPr="009A5E44">
        <w:t>    (2) Any person or entity that engages in telemarketing is prohibited from blocking the transmission of caller identification information.</w:t>
      </w:r>
    </w:p>
    <w:p w14:paraId="1BDA38B1" w14:textId="77777777" w:rsidR="009A5E44" w:rsidRPr="009A5E44" w:rsidRDefault="009A5E44" w:rsidP="009A5E44">
      <w:r w:rsidRPr="009A5E44">
        <w:t>    </w:t>
      </w:r>
    </w:p>
    <w:p w14:paraId="1DBD923A" w14:textId="77777777" w:rsidR="009A5E44" w:rsidRPr="009A5E44" w:rsidRDefault="009A5E44" w:rsidP="009A5E44">
      <w:r w:rsidRPr="009A5E44">
        <w:t>    (3) Tax-exempt nonprofit organizations are not required to comply with this paragraph.</w:t>
      </w:r>
    </w:p>
    <w:p w14:paraId="0C9F9031" w14:textId="77777777" w:rsidR="009A5E44" w:rsidRPr="009A5E44" w:rsidRDefault="009A5E44" w:rsidP="009A5E44">
      <w:r w:rsidRPr="009A5E44">
        <w:t>    </w:t>
      </w:r>
    </w:p>
    <w:p w14:paraId="606B6876" w14:textId="77777777" w:rsidR="009A5E44" w:rsidRPr="009A5E44" w:rsidRDefault="009A5E44" w:rsidP="009A5E44">
      <w:r w:rsidRPr="009A5E44">
        <w:t>    (f) Paragraph (b) of this section shall not apply when CPN delivery is made in connection with a threatening call. Upon report of such a threatening call by law enforcement on behalf of the threatened party, the carrier will provide any CPN of the calling party to law enforcement and, as directed by law enforcement, to security personnel for the called party for the purpose of identifying the party responsible for the threatening call.</w:t>
      </w:r>
    </w:p>
    <w:p w14:paraId="13936DB5" w14:textId="77777777" w:rsidR="009A5E44" w:rsidRPr="009A5E44" w:rsidRDefault="009A5E44" w:rsidP="009A5E44">
      <w:r w:rsidRPr="009A5E44">
        <w:t>    </w:t>
      </w:r>
    </w:p>
    <w:p w14:paraId="19E46F61" w14:textId="77777777" w:rsidR="009A5E44" w:rsidRPr="009A5E44" w:rsidRDefault="009A5E44" w:rsidP="009A5E44">
      <w:r w:rsidRPr="009A5E44">
        <w:t>    (g) For law enforcement or security personnel of the called party investigating the threat:</w:t>
      </w:r>
    </w:p>
    <w:p w14:paraId="6B919FAC" w14:textId="77777777" w:rsidR="009A5E44" w:rsidRPr="009A5E44" w:rsidRDefault="009A5E44" w:rsidP="009A5E44">
      <w:r w:rsidRPr="009A5E44">
        <w:t>    </w:t>
      </w:r>
    </w:p>
    <w:p w14:paraId="4CA7759B" w14:textId="77777777" w:rsidR="009A5E44" w:rsidRPr="009A5E44" w:rsidRDefault="009A5E44" w:rsidP="009A5E44">
      <w:r w:rsidRPr="009A5E44">
        <w:lastRenderedPageBreak/>
        <w:t>    (1) The CPN on incoming restricted calls may not be passed on to the line called;</w:t>
      </w:r>
    </w:p>
    <w:p w14:paraId="4F579958" w14:textId="77777777" w:rsidR="009A5E44" w:rsidRPr="009A5E44" w:rsidRDefault="009A5E44" w:rsidP="009A5E44">
      <w:r w:rsidRPr="009A5E44">
        <w:t>    </w:t>
      </w:r>
    </w:p>
    <w:p w14:paraId="6EA29D3B" w14:textId="77777777" w:rsidR="009A5E44" w:rsidRPr="009A5E44" w:rsidRDefault="009A5E44" w:rsidP="009A5E44">
      <w:r w:rsidRPr="009A5E44">
        <w:t>    (2) Any system used to record CPN must be operated in a secure way, limiting access to designated telecommunications and security personnel, as directed by law enforcement;</w:t>
      </w:r>
    </w:p>
    <w:p w14:paraId="6F76DF96" w14:textId="77777777" w:rsidR="009A5E44" w:rsidRPr="009A5E44" w:rsidRDefault="009A5E44" w:rsidP="009A5E44">
      <w:r w:rsidRPr="009A5E44">
        <w:t>    </w:t>
      </w:r>
    </w:p>
    <w:p w14:paraId="3E6C60C6" w14:textId="77777777" w:rsidR="009A5E44" w:rsidRPr="009A5E44" w:rsidRDefault="009A5E44" w:rsidP="009A5E44">
      <w:r w:rsidRPr="009A5E44">
        <w:t>    (3) Telecommunications and security personnel, as directed by law enforcement, may access restricted CPN data only when investigating phone calls of a threatening and serious nature, and shall document that access as part of the investigative report;</w:t>
      </w:r>
    </w:p>
    <w:p w14:paraId="5EC95954" w14:textId="77777777" w:rsidR="009A5E44" w:rsidRPr="009A5E44" w:rsidRDefault="009A5E44" w:rsidP="009A5E44">
      <w:r w:rsidRPr="009A5E44">
        <w:t>    </w:t>
      </w:r>
    </w:p>
    <w:p w14:paraId="6D74DDB4" w14:textId="77777777" w:rsidR="009A5E44" w:rsidRPr="009A5E44" w:rsidRDefault="009A5E44" w:rsidP="009A5E44">
      <w:r w:rsidRPr="009A5E44">
        <w:t>    (4) Carriers transmitting restricted CPN information must take reasonable measures to ensure security of such communications;</w:t>
      </w:r>
    </w:p>
    <w:p w14:paraId="376A3BB3" w14:textId="77777777" w:rsidR="009A5E44" w:rsidRPr="009A5E44" w:rsidRDefault="009A5E44" w:rsidP="009A5E44">
      <w:r w:rsidRPr="009A5E44">
        <w:t>    </w:t>
      </w:r>
    </w:p>
    <w:p w14:paraId="01811EDE" w14:textId="77777777" w:rsidR="009A5E44" w:rsidRPr="009A5E44" w:rsidRDefault="009A5E44" w:rsidP="009A5E44">
      <w:r w:rsidRPr="009A5E44">
        <w:t>    (5) CPN information must be destroyed in a secure manner after a reasonable retention period; and</w:t>
      </w:r>
    </w:p>
    <w:p w14:paraId="5189E026" w14:textId="77777777" w:rsidR="009A5E44" w:rsidRPr="009A5E44" w:rsidRDefault="009A5E44" w:rsidP="009A5E44">
      <w:r w:rsidRPr="009A5E44">
        <w:t>    </w:t>
      </w:r>
    </w:p>
    <w:p w14:paraId="3168DFCF" w14:textId="77777777" w:rsidR="009A5E44" w:rsidRPr="009A5E44" w:rsidRDefault="009A5E44" w:rsidP="009A5E44">
      <w:r w:rsidRPr="009A5E44">
        <w:t>    (6) Any violation of these conditions must be reported promptly to the Commission.</w:t>
      </w:r>
    </w:p>
    <w:p w14:paraId="1F5ECA83" w14:textId="77777777" w:rsidR="009A5E44" w:rsidRPr="009A5E44" w:rsidRDefault="009A5E44" w:rsidP="009A5E44">
      <w:r w:rsidRPr="009A5E44">
        <w:t>    </w:t>
      </w:r>
    </w:p>
    <w:p w14:paraId="128BD3EB" w14:textId="77777777" w:rsidR="009A5E44" w:rsidRPr="009A5E44" w:rsidRDefault="009A5E44" w:rsidP="009A5E44">
      <w:r w:rsidRPr="009A5E44">
        <w:t>    [60 FR 29490, June 5, 1995; 60 FR 54449, Oct. 24, 1995, as amended at 62 FR 34015, June 24, 1997; 68 FR 44179, July 25, 2003; 71 FR 75122, Dec. 14, 2006; 76 FR 73882, Nov. 29, 2011; 82 FR 56917, Dec. 1, 2017]</w:t>
      </w:r>
    </w:p>
    <w:p w14:paraId="194D870F" w14:textId="77777777" w:rsidR="009A5E44" w:rsidRPr="009A5E44" w:rsidRDefault="009A5E44" w:rsidP="009A5E44">
      <w:r w:rsidRPr="009A5E44">
        <w:t>    </w:t>
      </w:r>
    </w:p>
    <w:p w14:paraId="4E431620" w14:textId="77777777" w:rsidR="009A5E44" w:rsidRPr="009A5E44" w:rsidRDefault="009A5E44" w:rsidP="009A5E44">
      <w:r w:rsidRPr="009A5E44">
        <w:t>    Effective Date Note: At 82 FR 56917, Dec. 1, 2017, §64.1601 was amended by revising paragraphs (d)(4)(ii) and adding paragraph (f). These paragraphs contain information collection and recordkeeping requirements and will not become effective until approval has been given by the Office of Management and Budget.</w:t>
      </w:r>
    </w:p>
    <w:p w14:paraId="7EB4B4FE" w14:textId="77777777" w:rsidR="009A5E44" w:rsidRPr="009A5E44" w:rsidRDefault="009A5E44" w:rsidP="009A5E44">
      <w:r w:rsidRPr="009A5E44">
        <w:t>    </w:t>
      </w:r>
    </w:p>
    <w:p w14:paraId="75907FA3" w14:textId="77777777" w:rsidR="009A5E44" w:rsidRPr="009A5E44" w:rsidRDefault="009A5E44" w:rsidP="009A5E44">
      <w:pPr>
        <w:spacing w:before="0" w:after="0"/>
        <w:jc w:val="left"/>
        <w:rPr>
          <w:rFonts w:ascii="-webkit-standard" w:hAnsi="-webkit-standard"/>
          <w:color w:val="000000"/>
          <w:sz w:val="24"/>
          <w:szCs w:val="24"/>
        </w:rPr>
      </w:pPr>
      <w:r w:rsidRPr="009A5E44">
        <w:rPr>
          <w:rFonts w:ascii="-webkit-standard" w:hAnsi="-webkit-standard"/>
          <w:color w:val="000000"/>
          <w:sz w:val="24"/>
          <w:szCs w:val="24"/>
        </w:rPr>
        <w:t>    </w:t>
      </w:r>
    </w:p>
    <w:p w14:paraId="437D8AB9" w14:textId="77777777" w:rsidR="009A5E44" w:rsidRPr="009A5E44" w:rsidRDefault="009A5E44" w:rsidP="009A5E44">
      <w:pPr>
        <w:spacing w:before="0" w:after="0"/>
        <w:jc w:val="left"/>
        <w:rPr>
          <w:rFonts w:ascii="-webkit-standard" w:hAnsi="-webkit-standard"/>
          <w:color w:val="000000"/>
          <w:sz w:val="24"/>
          <w:szCs w:val="24"/>
        </w:rPr>
      </w:pPr>
      <w:r w:rsidRPr="009A5E44">
        <w:rPr>
          <w:rFonts w:ascii="-webkit-standard" w:hAnsi="-webkit-standard"/>
          <w:color w:val="000000"/>
          <w:sz w:val="24"/>
          <w:szCs w:val="24"/>
        </w:rPr>
        <w:t>    </w:t>
      </w:r>
    </w:p>
    <w:p w14:paraId="24E9F300" w14:textId="77777777" w:rsidR="009A5E44" w:rsidRPr="009A5E44" w:rsidRDefault="009A5E44" w:rsidP="009A5E44"/>
    <w:p w14:paraId="7FE2C6B6" w14:textId="77777777" w:rsidR="009A5E44" w:rsidRDefault="009A5E44" w:rsidP="009A5E44"/>
    <w:p w14:paraId="771A9362" w14:textId="77777777" w:rsidR="00424AF1" w:rsidRDefault="00424AF1" w:rsidP="00424AF1"/>
    <w:p w14:paraId="19A3C12C" w14:textId="77777777" w:rsidR="00B50698" w:rsidRDefault="00B50698" w:rsidP="00DC62FE">
      <w:pPr>
        <w:ind w:left="576"/>
      </w:pPr>
    </w:p>
    <w:p w14:paraId="5194FE3A" w14:textId="1CC2EAF7" w:rsidR="00424AF1" w:rsidRPr="001839DA" w:rsidRDefault="00424AF1" w:rsidP="00DC62FE"/>
    <w:p w14:paraId="7BB8EAF4" w14:textId="77777777" w:rsidR="000C3137" w:rsidRDefault="000C3137" w:rsidP="00731019"/>
    <w:p w14:paraId="001A84E9" w14:textId="77777777" w:rsidR="009D29BB" w:rsidRPr="00DA4AE3" w:rsidRDefault="009D29BB" w:rsidP="00AA2A20">
      <w:pPr>
        <w:rPr>
          <w:i/>
        </w:rPr>
      </w:pPr>
    </w:p>
    <w:p w14:paraId="14699246" w14:textId="77777777" w:rsidR="00424AF1" w:rsidRDefault="00424AF1" w:rsidP="00424AF1"/>
    <w:p w14:paraId="4A470C5D" w14:textId="77777777" w:rsidR="00424AF1" w:rsidRDefault="00424AF1" w:rsidP="00424AF1">
      <w:r>
        <w:t>xxx</w:t>
      </w:r>
    </w:p>
    <w:p w14:paraId="22B21DD5" w14:textId="77777777" w:rsidR="00424AF1" w:rsidRDefault="00424AF1" w:rsidP="00424AF1"/>
    <w:p w14:paraId="262F4A40" w14:textId="77777777" w:rsidR="00424AF1" w:rsidRDefault="007D56E0" w:rsidP="00424AF1">
      <w:pPr>
        <w:pStyle w:val="Heading1"/>
      </w:pPr>
      <w:r>
        <w:br w:type="page"/>
      </w:r>
      <w:r w:rsidR="00424AF1">
        <w:lastRenderedPageBreak/>
        <w:t>Normative References</w:t>
      </w:r>
    </w:p>
    <w:p w14:paraId="7F4032DE" w14:textId="769A0EE6" w:rsidR="00424AF1" w:rsidRDefault="00424AF1" w:rsidP="00424AF1">
      <w:r>
        <w:t xml:space="preserve">The following standards contain provisions which, through reference in this text, constitute provisions of this </w:t>
      </w:r>
      <w:r w:rsidR="007F337A">
        <w:t>s</w:t>
      </w:r>
      <w:r>
        <w:t xml:space="preserve">tandard. At the time of publication, the editions indicated were valid. All standards are subject to revision, and parties to agreements based on this </w:t>
      </w:r>
      <w:r w:rsidR="007F337A">
        <w:t>s</w:t>
      </w:r>
      <w:r>
        <w:t>tandard are encouraged to investigate the possibility of applying the most recent editions of the standards indicated below.</w:t>
      </w:r>
    </w:p>
    <w:p w14:paraId="7B5C9A71" w14:textId="77777777" w:rsidR="00BD4BD4" w:rsidRDefault="00BD4BD4" w:rsidP="00424AF1"/>
    <w:p w14:paraId="66DE118C" w14:textId="5AF1B016" w:rsidR="00D45216" w:rsidRDefault="007F337A" w:rsidP="00424AF1">
      <w:r>
        <w:t xml:space="preserve">ATIS SHAKEN Framework - </w:t>
      </w:r>
    </w:p>
    <w:p w14:paraId="25826847" w14:textId="77777777" w:rsidR="00C11329" w:rsidRDefault="00C11329" w:rsidP="00424AF1"/>
    <w:p w14:paraId="5CEC62A3" w14:textId="77777777" w:rsidR="00424AF1" w:rsidRDefault="00424AF1" w:rsidP="00424AF1"/>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04FD1769" w:rsidR="00BD4BD4" w:rsidRPr="001F2162" w:rsidRDefault="001F2162" w:rsidP="007F337A">
            <w:pPr>
              <w:rPr>
                <w:sz w:val="18"/>
                <w:szCs w:val="18"/>
              </w:rPr>
            </w:pPr>
            <w:r w:rsidRPr="001F2162">
              <w:rPr>
                <w:sz w:val="18"/>
                <w:szCs w:val="18"/>
              </w:rPr>
              <w:t>Alliance for Telecommunications Industry Solutions</w:t>
            </w:r>
          </w:p>
        </w:tc>
      </w:tr>
    </w:tbl>
    <w:p w14:paraId="2D7FD0A6" w14:textId="77777777" w:rsidR="001F2162" w:rsidRDefault="001F2162" w:rsidP="001F2162"/>
    <w:p w14:paraId="5026CC53" w14:textId="5D9B3749" w:rsidR="001F2162" w:rsidRDefault="00805FE5" w:rsidP="000B041B">
      <w:pPr>
        <w:pStyle w:val="Heading1"/>
      </w:pPr>
      <w:r>
        <w:br w:type="page"/>
      </w:r>
      <w:r w:rsidR="000B041B" w:rsidRPr="001530C9">
        <w:rPr>
          <w:rFonts w:cs="Arial"/>
          <w:noProof/>
          <w:color w:val="333333"/>
        </w:rPr>
        <w:lastRenderedPageBreak/>
        <w:t xml:space="preserve"> </w:t>
      </w:r>
      <w:r w:rsidR="001F2162">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proofErr w:type="gramStart"/>
      <w:r>
        <w:t>A</w:t>
      </w:r>
      <w:proofErr w:type="gramEnd"/>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11"/>
      <w:headerReference w:type="first" r:id="rId12"/>
      <w:footerReference w:type="first" r:id="rId1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E31FA" w14:textId="77777777" w:rsidR="00A479F7" w:rsidRDefault="00A479F7">
      <w:r>
        <w:separator/>
      </w:r>
    </w:p>
  </w:endnote>
  <w:endnote w:type="continuationSeparator" w:id="0">
    <w:p w14:paraId="70ED38ED" w14:textId="77777777" w:rsidR="00A479F7" w:rsidRDefault="00A4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77777777" w:rsidR="00141264" w:rsidRDefault="001412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77777777" w:rsidR="00141264" w:rsidRDefault="001412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1F1B" w14:textId="77777777" w:rsidR="00A479F7" w:rsidRDefault="00A479F7">
      <w:r>
        <w:separator/>
      </w:r>
    </w:p>
  </w:footnote>
  <w:footnote w:type="continuationSeparator" w:id="0">
    <w:p w14:paraId="3CF33D15" w14:textId="77777777" w:rsidR="00A479F7" w:rsidRDefault="00A4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141264" w:rsidRDefault="00141264"/>
  <w:p w14:paraId="5226A3C4" w14:textId="77777777" w:rsidR="00141264" w:rsidRDefault="001412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141264" w:rsidRPr="00D82162" w:rsidRDefault="0014126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141264" w:rsidRDefault="001412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141264" w:rsidRPr="00BC47C9" w:rsidRDefault="0014126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141264" w:rsidRPr="00BC47C9" w:rsidRDefault="00141264">
    <w:pPr>
      <w:pStyle w:val="BANNER1"/>
      <w:spacing w:before="120"/>
      <w:rPr>
        <w:rFonts w:ascii="Arial" w:hAnsi="Arial" w:cs="Arial"/>
        <w:sz w:val="24"/>
      </w:rPr>
    </w:pPr>
    <w:r w:rsidRPr="00BC47C9">
      <w:rPr>
        <w:rFonts w:ascii="Arial" w:hAnsi="Arial" w:cs="Arial"/>
        <w:sz w:val="24"/>
      </w:rPr>
      <w:t>ATIS Standard on –</w:t>
    </w:r>
  </w:p>
  <w:p w14:paraId="0C994F55" w14:textId="77777777" w:rsidR="00141264" w:rsidRPr="00BC47C9" w:rsidRDefault="00141264">
    <w:pPr>
      <w:pStyle w:val="BANNER1"/>
      <w:spacing w:before="120"/>
      <w:rPr>
        <w:rFonts w:ascii="Arial" w:hAnsi="Arial" w:cs="Arial"/>
        <w:sz w:val="24"/>
      </w:rPr>
    </w:pPr>
  </w:p>
  <w:p w14:paraId="70853329" w14:textId="0E99E95F" w:rsidR="00141264" w:rsidRPr="00BC47C9" w:rsidRDefault="00141264" w:rsidP="007B1197">
    <w:pPr>
      <w:ind w:right="-288"/>
      <w:jc w:val="center"/>
      <w:outlineLvl w:val="0"/>
      <w:rPr>
        <w:rFonts w:cs="Arial"/>
        <w:bCs/>
        <w:iCs/>
        <w:sz w:val="36"/>
      </w:rPr>
    </w:pPr>
  </w:p>
  <w:p w14:paraId="4108B071" w14:textId="77777777" w:rsidR="00141264" w:rsidRPr="00BC47C9" w:rsidRDefault="0014126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E06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4"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D68"/>
    <w:multiLevelType w:val="hybridMultilevel"/>
    <w:tmpl w:val="0FD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1276F9"/>
    <w:multiLevelType w:val="hybridMultilevel"/>
    <w:tmpl w:val="024A3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B5A54"/>
    <w:multiLevelType w:val="hybridMultilevel"/>
    <w:tmpl w:val="101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5D58A0"/>
    <w:multiLevelType w:val="hybridMultilevel"/>
    <w:tmpl w:val="9856B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FD2B49"/>
    <w:multiLevelType w:val="hybridMultilevel"/>
    <w:tmpl w:val="717E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010489"/>
    <w:multiLevelType w:val="hybridMultilevel"/>
    <w:tmpl w:val="306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3913A3"/>
    <w:multiLevelType w:val="hybridMultilevel"/>
    <w:tmpl w:val="104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4E171D"/>
    <w:multiLevelType w:val="hybridMultilevel"/>
    <w:tmpl w:val="CF1CFE8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A41F4"/>
    <w:multiLevelType w:val="hybridMultilevel"/>
    <w:tmpl w:val="E2D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51CFB"/>
    <w:multiLevelType w:val="hybridMultilevel"/>
    <w:tmpl w:val="10A6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1003C3"/>
    <w:multiLevelType w:val="hybridMultilevel"/>
    <w:tmpl w:val="FDB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D42EB"/>
    <w:multiLevelType w:val="hybridMultilevel"/>
    <w:tmpl w:val="136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0550D"/>
    <w:multiLevelType w:val="hybridMultilevel"/>
    <w:tmpl w:val="159A3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155D9B"/>
    <w:multiLevelType w:val="multilevel"/>
    <w:tmpl w:val="C4EAF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15:restartNumberingAfterBreak="0">
    <w:nsid w:val="6AA75101"/>
    <w:multiLevelType w:val="hybridMultilevel"/>
    <w:tmpl w:val="8ED4DF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972C7"/>
    <w:multiLevelType w:val="hybridMultilevel"/>
    <w:tmpl w:val="1980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8"/>
  </w:num>
  <w:num w:numId="4">
    <w:abstractNumId w:val="9"/>
  </w:num>
  <w:num w:numId="5">
    <w:abstractNumId w:val="7"/>
  </w:num>
  <w:num w:numId="6">
    <w:abstractNumId w:val="6"/>
  </w:num>
  <w:num w:numId="7">
    <w:abstractNumId w:val="5"/>
  </w:num>
  <w:num w:numId="8">
    <w:abstractNumId w:val="4"/>
  </w:num>
  <w:num w:numId="9">
    <w:abstractNumId w:val="41"/>
  </w:num>
  <w:num w:numId="10">
    <w:abstractNumId w:val="3"/>
  </w:num>
  <w:num w:numId="11">
    <w:abstractNumId w:val="2"/>
  </w:num>
  <w:num w:numId="12">
    <w:abstractNumId w:val="1"/>
  </w:num>
  <w:num w:numId="13">
    <w:abstractNumId w:val="15"/>
  </w:num>
  <w:num w:numId="14">
    <w:abstractNumId w:val="28"/>
  </w:num>
  <w:num w:numId="15">
    <w:abstractNumId w:val="38"/>
  </w:num>
  <w:num w:numId="16">
    <w:abstractNumId w:val="23"/>
  </w:num>
  <w:num w:numId="17">
    <w:abstractNumId w:val="31"/>
  </w:num>
  <w:num w:numId="18">
    <w:abstractNumId w:val="11"/>
  </w:num>
  <w:num w:numId="19">
    <w:abstractNumId w:val="27"/>
  </w:num>
  <w:num w:numId="20">
    <w:abstractNumId w:val="14"/>
  </w:num>
  <w:num w:numId="21">
    <w:abstractNumId w:val="20"/>
  </w:num>
  <w:num w:numId="22">
    <w:abstractNumId w:val="22"/>
  </w:num>
  <w:num w:numId="23">
    <w:abstractNumId w:val="16"/>
  </w:num>
  <w:num w:numId="24">
    <w:abstractNumId w:val="37"/>
  </w:num>
  <w:num w:numId="25">
    <w:abstractNumId w:val="42"/>
  </w:num>
  <w:num w:numId="26">
    <w:abstractNumId w:val="12"/>
  </w:num>
  <w:num w:numId="27">
    <w:abstractNumId w:val="44"/>
  </w:num>
  <w:num w:numId="28">
    <w:abstractNumId w:val="33"/>
  </w:num>
  <w:num w:numId="29">
    <w:abstractNumId w:val="30"/>
  </w:num>
  <w:num w:numId="30">
    <w:abstractNumId w:val="18"/>
  </w:num>
  <w:num w:numId="31">
    <w:abstractNumId w:val="17"/>
  </w:num>
  <w:num w:numId="32">
    <w:abstractNumId w:val="10"/>
  </w:num>
  <w:num w:numId="33">
    <w:abstractNumId w:val="13"/>
  </w:num>
  <w:num w:numId="34">
    <w:abstractNumId w:val="34"/>
  </w:num>
  <w:num w:numId="35">
    <w:abstractNumId w:val="29"/>
  </w:num>
  <w:num w:numId="36">
    <w:abstractNumId w:val="19"/>
  </w:num>
  <w:num w:numId="37">
    <w:abstractNumId w:val="25"/>
  </w:num>
  <w:num w:numId="38">
    <w:abstractNumId w:val="21"/>
  </w:num>
  <w:num w:numId="39">
    <w:abstractNumId w:val="40"/>
  </w:num>
  <w:num w:numId="40">
    <w:abstractNumId w:val="35"/>
  </w:num>
  <w:num w:numId="41">
    <w:abstractNumId w:val="36"/>
  </w:num>
  <w:num w:numId="42">
    <w:abstractNumId w:val="0"/>
  </w:num>
  <w:num w:numId="43">
    <w:abstractNumId w:val="39"/>
  </w:num>
  <w:num w:numId="44">
    <w:abstractNumId w:val="32"/>
  </w:num>
  <w:num w:numId="4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548"/>
    <w:rsid w:val="00003B02"/>
    <w:rsid w:val="00004A36"/>
    <w:rsid w:val="00012A34"/>
    <w:rsid w:val="00014CC5"/>
    <w:rsid w:val="00017438"/>
    <w:rsid w:val="000458E5"/>
    <w:rsid w:val="00046AA9"/>
    <w:rsid w:val="000536D7"/>
    <w:rsid w:val="00096BD0"/>
    <w:rsid w:val="000B041B"/>
    <w:rsid w:val="000C3137"/>
    <w:rsid w:val="000D3768"/>
    <w:rsid w:val="000E2CD0"/>
    <w:rsid w:val="000E332C"/>
    <w:rsid w:val="000F4E9B"/>
    <w:rsid w:val="0011131C"/>
    <w:rsid w:val="0012557B"/>
    <w:rsid w:val="001262F9"/>
    <w:rsid w:val="00130EF9"/>
    <w:rsid w:val="0013137A"/>
    <w:rsid w:val="00131FC5"/>
    <w:rsid w:val="001332B6"/>
    <w:rsid w:val="001361EF"/>
    <w:rsid w:val="00141264"/>
    <w:rsid w:val="001434F6"/>
    <w:rsid w:val="00150AD7"/>
    <w:rsid w:val="00152920"/>
    <w:rsid w:val="00152C2B"/>
    <w:rsid w:val="001530C9"/>
    <w:rsid w:val="0016126C"/>
    <w:rsid w:val="00172552"/>
    <w:rsid w:val="00176097"/>
    <w:rsid w:val="0018254B"/>
    <w:rsid w:val="001839DA"/>
    <w:rsid w:val="00186D0D"/>
    <w:rsid w:val="00190EA3"/>
    <w:rsid w:val="00196A38"/>
    <w:rsid w:val="001A0C5E"/>
    <w:rsid w:val="001A0CA4"/>
    <w:rsid w:val="001A5B24"/>
    <w:rsid w:val="001D130F"/>
    <w:rsid w:val="001D174B"/>
    <w:rsid w:val="001D692B"/>
    <w:rsid w:val="001E0B44"/>
    <w:rsid w:val="001F0181"/>
    <w:rsid w:val="001F2162"/>
    <w:rsid w:val="001F227D"/>
    <w:rsid w:val="001F44A6"/>
    <w:rsid w:val="002054B7"/>
    <w:rsid w:val="002061F2"/>
    <w:rsid w:val="002142D1"/>
    <w:rsid w:val="0021710E"/>
    <w:rsid w:val="00217324"/>
    <w:rsid w:val="002314A5"/>
    <w:rsid w:val="00234D7C"/>
    <w:rsid w:val="00241017"/>
    <w:rsid w:val="00246F92"/>
    <w:rsid w:val="00251148"/>
    <w:rsid w:val="002603C6"/>
    <w:rsid w:val="00267226"/>
    <w:rsid w:val="002A14C4"/>
    <w:rsid w:val="002A23E3"/>
    <w:rsid w:val="002A435B"/>
    <w:rsid w:val="002A4ABB"/>
    <w:rsid w:val="002A7CA2"/>
    <w:rsid w:val="002B01D6"/>
    <w:rsid w:val="002B7015"/>
    <w:rsid w:val="002C179D"/>
    <w:rsid w:val="002C4900"/>
    <w:rsid w:val="002D14D1"/>
    <w:rsid w:val="002D1A63"/>
    <w:rsid w:val="002D7445"/>
    <w:rsid w:val="002E1500"/>
    <w:rsid w:val="002F2269"/>
    <w:rsid w:val="002F2DF1"/>
    <w:rsid w:val="002F614C"/>
    <w:rsid w:val="00301446"/>
    <w:rsid w:val="00306CE7"/>
    <w:rsid w:val="0031695C"/>
    <w:rsid w:val="00321134"/>
    <w:rsid w:val="00327DE4"/>
    <w:rsid w:val="00335008"/>
    <w:rsid w:val="00335BF2"/>
    <w:rsid w:val="00337EF0"/>
    <w:rsid w:val="0034049E"/>
    <w:rsid w:val="00350758"/>
    <w:rsid w:val="0035227C"/>
    <w:rsid w:val="0036140D"/>
    <w:rsid w:val="0036237D"/>
    <w:rsid w:val="00363B8E"/>
    <w:rsid w:val="00363EC5"/>
    <w:rsid w:val="00376DE6"/>
    <w:rsid w:val="0038413A"/>
    <w:rsid w:val="003936A6"/>
    <w:rsid w:val="003A1E21"/>
    <w:rsid w:val="003B1002"/>
    <w:rsid w:val="003C496F"/>
    <w:rsid w:val="003C4D16"/>
    <w:rsid w:val="003D549D"/>
    <w:rsid w:val="003E1CF7"/>
    <w:rsid w:val="003E5255"/>
    <w:rsid w:val="003F351D"/>
    <w:rsid w:val="003F4AFA"/>
    <w:rsid w:val="00405F6D"/>
    <w:rsid w:val="004066B5"/>
    <w:rsid w:val="00411C80"/>
    <w:rsid w:val="00411C9C"/>
    <w:rsid w:val="00424016"/>
    <w:rsid w:val="00424AF1"/>
    <w:rsid w:val="00445904"/>
    <w:rsid w:val="0044704D"/>
    <w:rsid w:val="004677A8"/>
    <w:rsid w:val="0047089D"/>
    <w:rsid w:val="0047144E"/>
    <w:rsid w:val="00472D6C"/>
    <w:rsid w:val="0048096A"/>
    <w:rsid w:val="00485B7E"/>
    <w:rsid w:val="004903B1"/>
    <w:rsid w:val="004A3781"/>
    <w:rsid w:val="004B1474"/>
    <w:rsid w:val="004B1D46"/>
    <w:rsid w:val="004B443F"/>
    <w:rsid w:val="004B5F5D"/>
    <w:rsid w:val="004B640C"/>
    <w:rsid w:val="004B7BD8"/>
    <w:rsid w:val="004D1E30"/>
    <w:rsid w:val="004D4D6D"/>
    <w:rsid w:val="004F5EDE"/>
    <w:rsid w:val="005014DB"/>
    <w:rsid w:val="00502910"/>
    <w:rsid w:val="00507ABD"/>
    <w:rsid w:val="00513DA4"/>
    <w:rsid w:val="00515003"/>
    <w:rsid w:val="005204C6"/>
    <w:rsid w:val="005253E2"/>
    <w:rsid w:val="00532B36"/>
    <w:rsid w:val="005376CA"/>
    <w:rsid w:val="0054467F"/>
    <w:rsid w:val="00556EF0"/>
    <w:rsid w:val="00572688"/>
    <w:rsid w:val="005775E7"/>
    <w:rsid w:val="0058281A"/>
    <w:rsid w:val="00590C1B"/>
    <w:rsid w:val="00595EB6"/>
    <w:rsid w:val="005A043E"/>
    <w:rsid w:val="005A72FD"/>
    <w:rsid w:val="005B0CFB"/>
    <w:rsid w:val="005B4651"/>
    <w:rsid w:val="005D0532"/>
    <w:rsid w:val="005E0DD8"/>
    <w:rsid w:val="005E2425"/>
    <w:rsid w:val="005F4807"/>
    <w:rsid w:val="006170B5"/>
    <w:rsid w:val="00617419"/>
    <w:rsid w:val="00624701"/>
    <w:rsid w:val="006247A7"/>
    <w:rsid w:val="00637FC7"/>
    <w:rsid w:val="0065728F"/>
    <w:rsid w:val="006622E8"/>
    <w:rsid w:val="00662ED4"/>
    <w:rsid w:val="00665B65"/>
    <w:rsid w:val="00686C71"/>
    <w:rsid w:val="00693649"/>
    <w:rsid w:val="00694E97"/>
    <w:rsid w:val="006A0FE6"/>
    <w:rsid w:val="006A30B3"/>
    <w:rsid w:val="006A3A05"/>
    <w:rsid w:val="006A73B6"/>
    <w:rsid w:val="006B3469"/>
    <w:rsid w:val="006B3D26"/>
    <w:rsid w:val="006C756C"/>
    <w:rsid w:val="006D2CFE"/>
    <w:rsid w:val="006F12CE"/>
    <w:rsid w:val="007037DF"/>
    <w:rsid w:val="00707F8A"/>
    <w:rsid w:val="00721020"/>
    <w:rsid w:val="00726DA7"/>
    <w:rsid w:val="00727502"/>
    <w:rsid w:val="00731019"/>
    <w:rsid w:val="00733334"/>
    <w:rsid w:val="00735B16"/>
    <w:rsid w:val="00737D7A"/>
    <w:rsid w:val="007504B3"/>
    <w:rsid w:val="007549FA"/>
    <w:rsid w:val="00755D74"/>
    <w:rsid w:val="00762519"/>
    <w:rsid w:val="0078208B"/>
    <w:rsid w:val="007844D4"/>
    <w:rsid w:val="00790CB8"/>
    <w:rsid w:val="00791166"/>
    <w:rsid w:val="00791186"/>
    <w:rsid w:val="00794C95"/>
    <w:rsid w:val="0079580A"/>
    <w:rsid w:val="007979B4"/>
    <w:rsid w:val="007B1197"/>
    <w:rsid w:val="007B4F60"/>
    <w:rsid w:val="007C3C85"/>
    <w:rsid w:val="007D56E0"/>
    <w:rsid w:val="007D5EEC"/>
    <w:rsid w:val="007D65B6"/>
    <w:rsid w:val="007D7BDB"/>
    <w:rsid w:val="007E23D3"/>
    <w:rsid w:val="007F038C"/>
    <w:rsid w:val="007F337A"/>
    <w:rsid w:val="007F5B24"/>
    <w:rsid w:val="007F75D5"/>
    <w:rsid w:val="00801395"/>
    <w:rsid w:val="00802891"/>
    <w:rsid w:val="00804F87"/>
    <w:rsid w:val="00805FE5"/>
    <w:rsid w:val="00807625"/>
    <w:rsid w:val="00813E13"/>
    <w:rsid w:val="00814212"/>
    <w:rsid w:val="008150A7"/>
    <w:rsid w:val="00817727"/>
    <w:rsid w:val="00825581"/>
    <w:rsid w:val="00840B1F"/>
    <w:rsid w:val="008413A3"/>
    <w:rsid w:val="00856C90"/>
    <w:rsid w:val="00862C4F"/>
    <w:rsid w:val="008818F4"/>
    <w:rsid w:val="0088552D"/>
    <w:rsid w:val="00893DD9"/>
    <w:rsid w:val="008A7203"/>
    <w:rsid w:val="008B2FE0"/>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432D"/>
    <w:rsid w:val="00943BDD"/>
    <w:rsid w:val="00943F8F"/>
    <w:rsid w:val="00954277"/>
    <w:rsid w:val="00962CD1"/>
    <w:rsid w:val="00965F10"/>
    <w:rsid w:val="00967BB8"/>
    <w:rsid w:val="009756C5"/>
    <w:rsid w:val="00977E0B"/>
    <w:rsid w:val="00982BE4"/>
    <w:rsid w:val="00982F55"/>
    <w:rsid w:val="00983B2D"/>
    <w:rsid w:val="00984812"/>
    <w:rsid w:val="00987D79"/>
    <w:rsid w:val="0099306D"/>
    <w:rsid w:val="00996F71"/>
    <w:rsid w:val="009A1150"/>
    <w:rsid w:val="009A417B"/>
    <w:rsid w:val="009A5E44"/>
    <w:rsid w:val="009A6EC3"/>
    <w:rsid w:val="009B1379"/>
    <w:rsid w:val="009B2BC0"/>
    <w:rsid w:val="009B60CB"/>
    <w:rsid w:val="009C55A1"/>
    <w:rsid w:val="009D29BB"/>
    <w:rsid w:val="009D3BA3"/>
    <w:rsid w:val="009D785E"/>
    <w:rsid w:val="009E0117"/>
    <w:rsid w:val="009E4DA5"/>
    <w:rsid w:val="009F6220"/>
    <w:rsid w:val="00A00928"/>
    <w:rsid w:val="00A018A7"/>
    <w:rsid w:val="00A04AFF"/>
    <w:rsid w:val="00A22224"/>
    <w:rsid w:val="00A317B2"/>
    <w:rsid w:val="00A449C6"/>
    <w:rsid w:val="00A479F7"/>
    <w:rsid w:val="00A57D75"/>
    <w:rsid w:val="00A60632"/>
    <w:rsid w:val="00A60CA0"/>
    <w:rsid w:val="00A731F4"/>
    <w:rsid w:val="00A967DA"/>
    <w:rsid w:val="00AA2A20"/>
    <w:rsid w:val="00AA3B67"/>
    <w:rsid w:val="00AA5CA4"/>
    <w:rsid w:val="00AC0003"/>
    <w:rsid w:val="00AC5313"/>
    <w:rsid w:val="00AD6967"/>
    <w:rsid w:val="00AD6EB0"/>
    <w:rsid w:val="00AD7DEE"/>
    <w:rsid w:val="00AD7F98"/>
    <w:rsid w:val="00B162F3"/>
    <w:rsid w:val="00B17248"/>
    <w:rsid w:val="00B203C0"/>
    <w:rsid w:val="00B20870"/>
    <w:rsid w:val="00B24A3A"/>
    <w:rsid w:val="00B334CB"/>
    <w:rsid w:val="00B46975"/>
    <w:rsid w:val="00B50698"/>
    <w:rsid w:val="00B55C21"/>
    <w:rsid w:val="00B57440"/>
    <w:rsid w:val="00B61D19"/>
    <w:rsid w:val="00B81C33"/>
    <w:rsid w:val="00B86A6C"/>
    <w:rsid w:val="00B86CCE"/>
    <w:rsid w:val="00B93C76"/>
    <w:rsid w:val="00B96AF5"/>
    <w:rsid w:val="00BA01C3"/>
    <w:rsid w:val="00BA3FB0"/>
    <w:rsid w:val="00BC47C9"/>
    <w:rsid w:val="00BC47D8"/>
    <w:rsid w:val="00BC4E30"/>
    <w:rsid w:val="00BD4BD4"/>
    <w:rsid w:val="00BD50D5"/>
    <w:rsid w:val="00BE265D"/>
    <w:rsid w:val="00BE6D04"/>
    <w:rsid w:val="00BF1D21"/>
    <w:rsid w:val="00C04483"/>
    <w:rsid w:val="00C11329"/>
    <w:rsid w:val="00C129E7"/>
    <w:rsid w:val="00C24731"/>
    <w:rsid w:val="00C308A6"/>
    <w:rsid w:val="00C3142C"/>
    <w:rsid w:val="00C4025E"/>
    <w:rsid w:val="00C44F39"/>
    <w:rsid w:val="00C47A54"/>
    <w:rsid w:val="00C56D4F"/>
    <w:rsid w:val="00C57F38"/>
    <w:rsid w:val="00CA3432"/>
    <w:rsid w:val="00CA52B2"/>
    <w:rsid w:val="00CB3FFF"/>
    <w:rsid w:val="00CB60D4"/>
    <w:rsid w:val="00CB73C9"/>
    <w:rsid w:val="00CB77C8"/>
    <w:rsid w:val="00CC0ECD"/>
    <w:rsid w:val="00CC34DD"/>
    <w:rsid w:val="00CC5E75"/>
    <w:rsid w:val="00CD2E94"/>
    <w:rsid w:val="00CE641C"/>
    <w:rsid w:val="00CF599D"/>
    <w:rsid w:val="00D06987"/>
    <w:rsid w:val="00D1159A"/>
    <w:rsid w:val="00D16FE6"/>
    <w:rsid w:val="00D2587E"/>
    <w:rsid w:val="00D3348A"/>
    <w:rsid w:val="00D45216"/>
    <w:rsid w:val="00D50286"/>
    <w:rsid w:val="00D50927"/>
    <w:rsid w:val="00D55782"/>
    <w:rsid w:val="00D70422"/>
    <w:rsid w:val="00D7514D"/>
    <w:rsid w:val="00D804B0"/>
    <w:rsid w:val="00D82162"/>
    <w:rsid w:val="00D8772E"/>
    <w:rsid w:val="00D9274C"/>
    <w:rsid w:val="00DA4AE3"/>
    <w:rsid w:val="00DB3B15"/>
    <w:rsid w:val="00DB3FAC"/>
    <w:rsid w:val="00DC2165"/>
    <w:rsid w:val="00DC5A33"/>
    <w:rsid w:val="00DC602C"/>
    <w:rsid w:val="00DC62FE"/>
    <w:rsid w:val="00DD5463"/>
    <w:rsid w:val="00DE0467"/>
    <w:rsid w:val="00DF4EBE"/>
    <w:rsid w:val="00DF6F0A"/>
    <w:rsid w:val="00DF79ED"/>
    <w:rsid w:val="00DF7B7D"/>
    <w:rsid w:val="00E0525F"/>
    <w:rsid w:val="00E05F8B"/>
    <w:rsid w:val="00E33407"/>
    <w:rsid w:val="00E65F76"/>
    <w:rsid w:val="00E6723C"/>
    <w:rsid w:val="00E7006B"/>
    <w:rsid w:val="00E7130A"/>
    <w:rsid w:val="00E839EE"/>
    <w:rsid w:val="00E93C35"/>
    <w:rsid w:val="00E96150"/>
    <w:rsid w:val="00EA47AD"/>
    <w:rsid w:val="00EB273B"/>
    <w:rsid w:val="00EB4863"/>
    <w:rsid w:val="00ED0081"/>
    <w:rsid w:val="00ED3BB8"/>
    <w:rsid w:val="00EE286F"/>
    <w:rsid w:val="00EE4F2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55183"/>
    <w:rsid w:val="00F666B2"/>
    <w:rsid w:val="00F72F38"/>
    <w:rsid w:val="00F81A05"/>
    <w:rsid w:val="00F864CA"/>
    <w:rsid w:val="00F9422A"/>
    <w:rsid w:val="00F946BC"/>
    <w:rsid w:val="00FA3521"/>
    <w:rsid w:val="00FA4570"/>
    <w:rsid w:val="00FC4B0D"/>
    <w:rsid w:val="00FC6C42"/>
    <w:rsid w:val="00FD1FA3"/>
    <w:rsid w:val="00FD4CC6"/>
    <w:rsid w:val="00FE03C6"/>
    <w:rsid w:val="00FE10FC"/>
    <w:rsid w:val="00FE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styleId="UnresolvedMention">
    <w:name w:val="Unresolved Mention"/>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873081096">
      <w:bodyDiv w:val="1"/>
      <w:marLeft w:val="0"/>
      <w:marRight w:val="0"/>
      <w:marTop w:val="0"/>
      <w:marBottom w:val="0"/>
      <w:divBdr>
        <w:top w:val="none" w:sz="0" w:space="0" w:color="auto"/>
        <w:left w:val="none" w:sz="0" w:space="0" w:color="auto"/>
        <w:bottom w:val="none" w:sz="0" w:space="0" w:color="auto"/>
        <w:right w:val="none" w:sz="0" w:space="0" w:color="auto"/>
      </w:divBdr>
      <w:divsChild>
        <w:div w:id="969474676">
          <w:marLeft w:val="0"/>
          <w:marRight w:val="0"/>
          <w:marTop w:val="0"/>
          <w:marBottom w:val="0"/>
          <w:divBdr>
            <w:top w:val="none" w:sz="0" w:space="0" w:color="auto"/>
            <w:left w:val="none" w:sz="0" w:space="0" w:color="auto"/>
            <w:bottom w:val="none" w:sz="0" w:space="0" w:color="auto"/>
            <w:right w:val="none" w:sz="0" w:space="0" w:color="auto"/>
          </w:divBdr>
        </w:div>
        <w:div w:id="467743530">
          <w:marLeft w:val="0"/>
          <w:marRight w:val="0"/>
          <w:marTop w:val="0"/>
          <w:marBottom w:val="0"/>
          <w:divBdr>
            <w:top w:val="none" w:sz="0" w:space="0" w:color="auto"/>
            <w:left w:val="none" w:sz="0" w:space="0" w:color="auto"/>
            <w:bottom w:val="none" w:sz="0" w:space="0" w:color="auto"/>
            <w:right w:val="none" w:sz="0" w:space="0" w:color="auto"/>
          </w:divBdr>
        </w:div>
        <w:div w:id="1586375360">
          <w:marLeft w:val="0"/>
          <w:marRight w:val="0"/>
          <w:marTop w:val="0"/>
          <w:marBottom w:val="0"/>
          <w:divBdr>
            <w:top w:val="none" w:sz="0" w:space="0" w:color="auto"/>
            <w:left w:val="none" w:sz="0" w:space="0" w:color="auto"/>
            <w:bottom w:val="none" w:sz="0" w:space="0" w:color="auto"/>
            <w:right w:val="none" w:sz="0" w:space="0" w:color="auto"/>
          </w:divBdr>
        </w:div>
        <w:div w:id="688336087">
          <w:marLeft w:val="0"/>
          <w:marRight w:val="0"/>
          <w:marTop w:val="0"/>
          <w:marBottom w:val="0"/>
          <w:divBdr>
            <w:top w:val="none" w:sz="0" w:space="0" w:color="auto"/>
            <w:left w:val="none" w:sz="0" w:space="0" w:color="auto"/>
            <w:bottom w:val="none" w:sz="0" w:space="0" w:color="auto"/>
            <w:right w:val="none" w:sz="0" w:space="0" w:color="auto"/>
          </w:divBdr>
        </w:div>
        <w:div w:id="1119186093">
          <w:marLeft w:val="0"/>
          <w:marRight w:val="0"/>
          <w:marTop w:val="0"/>
          <w:marBottom w:val="0"/>
          <w:divBdr>
            <w:top w:val="none" w:sz="0" w:space="0" w:color="auto"/>
            <w:left w:val="none" w:sz="0" w:space="0" w:color="auto"/>
            <w:bottom w:val="none" w:sz="0" w:space="0" w:color="auto"/>
            <w:right w:val="none" w:sz="0" w:space="0" w:color="auto"/>
          </w:divBdr>
        </w:div>
        <w:div w:id="1361933711">
          <w:marLeft w:val="0"/>
          <w:marRight w:val="0"/>
          <w:marTop w:val="0"/>
          <w:marBottom w:val="0"/>
          <w:divBdr>
            <w:top w:val="none" w:sz="0" w:space="0" w:color="auto"/>
            <w:left w:val="none" w:sz="0" w:space="0" w:color="auto"/>
            <w:bottom w:val="none" w:sz="0" w:space="0" w:color="auto"/>
            <w:right w:val="none" w:sz="0" w:space="0" w:color="auto"/>
          </w:divBdr>
        </w:div>
        <w:div w:id="221404381">
          <w:marLeft w:val="0"/>
          <w:marRight w:val="0"/>
          <w:marTop w:val="0"/>
          <w:marBottom w:val="0"/>
          <w:divBdr>
            <w:top w:val="none" w:sz="0" w:space="0" w:color="auto"/>
            <w:left w:val="none" w:sz="0" w:space="0" w:color="auto"/>
            <w:bottom w:val="none" w:sz="0" w:space="0" w:color="auto"/>
            <w:right w:val="none" w:sz="0" w:space="0" w:color="auto"/>
          </w:divBdr>
        </w:div>
        <w:div w:id="1041171573">
          <w:marLeft w:val="0"/>
          <w:marRight w:val="0"/>
          <w:marTop w:val="0"/>
          <w:marBottom w:val="0"/>
          <w:divBdr>
            <w:top w:val="none" w:sz="0" w:space="0" w:color="auto"/>
            <w:left w:val="none" w:sz="0" w:space="0" w:color="auto"/>
            <w:bottom w:val="none" w:sz="0" w:space="0" w:color="auto"/>
            <w:right w:val="none" w:sz="0" w:space="0" w:color="auto"/>
          </w:divBdr>
        </w:div>
        <w:div w:id="2089420473">
          <w:marLeft w:val="0"/>
          <w:marRight w:val="0"/>
          <w:marTop w:val="0"/>
          <w:marBottom w:val="0"/>
          <w:divBdr>
            <w:top w:val="none" w:sz="0" w:space="0" w:color="auto"/>
            <w:left w:val="none" w:sz="0" w:space="0" w:color="auto"/>
            <w:bottom w:val="none" w:sz="0" w:space="0" w:color="auto"/>
            <w:right w:val="none" w:sz="0" w:space="0" w:color="auto"/>
          </w:divBdr>
        </w:div>
        <w:div w:id="1697996241">
          <w:marLeft w:val="0"/>
          <w:marRight w:val="0"/>
          <w:marTop w:val="0"/>
          <w:marBottom w:val="0"/>
          <w:divBdr>
            <w:top w:val="none" w:sz="0" w:space="0" w:color="auto"/>
            <w:left w:val="none" w:sz="0" w:space="0" w:color="auto"/>
            <w:bottom w:val="none" w:sz="0" w:space="0" w:color="auto"/>
            <w:right w:val="none" w:sz="0" w:space="0" w:color="auto"/>
          </w:divBdr>
        </w:div>
        <w:div w:id="826626544">
          <w:marLeft w:val="0"/>
          <w:marRight w:val="0"/>
          <w:marTop w:val="0"/>
          <w:marBottom w:val="0"/>
          <w:divBdr>
            <w:top w:val="none" w:sz="0" w:space="0" w:color="auto"/>
            <w:left w:val="none" w:sz="0" w:space="0" w:color="auto"/>
            <w:bottom w:val="none" w:sz="0" w:space="0" w:color="auto"/>
            <w:right w:val="none" w:sz="0" w:space="0" w:color="auto"/>
          </w:divBdr>
        </w:div>
        <w:div w:id="2031956520">
          <w:marLeft w:val="0"/>
          <w:marRight w:val="0"/>
          <w:marTop w:val="0"/>
          <w:marBottom w:val="0"/>
          <w:divBdr>
            <w:top w:val="none" w:sz="0" w:space="0" w:color="auto"/>
            <w:left w:val="none" w:sz="0" w:space="0" w:color="auto"/>
            <w:bottom w:val="none" w:sz="0" w:space="0" w:color="auto"/>
            <w:right w:val="none" w:sz="0" w:space="0" w:color="auto"/>
          </w:divBdr>
        </w:div>
        <w:div w:id="917255715">
          <w:marLeft w:val="0"/>
          <w:marRight w:val="0"/>
          <w:marTop w:val="0"/>
          <w:marBottom w:val="0"/>
          <w:divBdr>
            <w:top w:val="none" w:sz="0" w:space="0" w:color="auto"/>
            <w:left w:val="none" w:sz="0" w:space="0" w:color="auto"/>
            <w:bottom w:val="none" w:sz="0" w:space="0" w:color="auto"/>
            <w:right w:val="none" w:sz="0" w:space="0" w:color="auto"/>
          </w:divBdr>
        </w:div>
        <w:div w:id="2054845642">
          <w:marLeft w:val="0"/>
          <w:marRight w:val="0"/>
          <w:marTop w:val="0"/>
          <w:marBottom w:val="0"/>
          <w:divBdr>
            <w:top w:val="none" w:sz="0" w:space="0" w:color="auto"/>
            <w:left w:val="none" w:sz="0" w:space="0" w:color="auto"/>
            <w:bottom w:val="none" w:sz="0" w:space="0" w:color="auto"/>
            <w:right w:val="none" w:sz="0" w:space="0" w:color="auto"/>
          </w:divBdr>
        </w:div>
        <w:div w:id="183058716">
          <w:marLeft w:val="0"/>
          <w:marRight w:val="0"/>
          <w:marTop w:val="0"/>
          <w:marBottom w:val="0"/>
          <w:divBdr>
            <w:top w:val="none" w:sz="0" w:space="0" w:color="auto"/>
            <w:left w:val="none" w:sz="0" w:space="0" w:color="auto"/>
            <w:bottom w:val="none" w:sz="0" w:space="0" w:color="auto"/>
            <w:right w:val="none" w:sz="0" w:space="0" w:color="auto"/>
          </w:divBdr>
        </w:div>
        <w:div w:id="1633750721">
          <w:marLeft w:val="0"/>
          <w:marRight w:val="0"/>
          <w:marTop w:val="0"/>
          <w:marBottom w:val="0"/>
          <w:divBdr>
            <w:top w:val="none" w:sz="0" w:space="0" w:color="auto"/>
            <w:left w:val="none" w:sz="0" w:space="0" w:color="auto"/>
            <w:bottom w:val="none" w:sz="0" w:space="0" w:color="auto"/>
            <w:right w:val="none" w:sz="0" w:space="0" w:color="auto"/>
          </w:divBdr>
        </w:div>
        <w:div w:id="68306603">
          <w:marLeft w:val="0"/>
          <w:marRight w:val="0"/>
          <w:marTop w:val="0"/>
          <w:marBottom w:val="0"/>
          <w:divBdr>
            <w:top w:val="none" w:sz="0" w:space="0" w:color="auto"/>
            <w:left w:val="none" w:sz="0" w:space="0" w:color="auto"/>
            <w:bottom w:val="none" w:sz="0" w:space="0" w:color="auto"/>
            <w:right w:val="none" w:sz="0" w:space="0" w:color="auto"/>
          </w:divBdr>
        </w:div>
        <w:div w:id="725029868">
          <w:marLeft w:val="0"/>
          <w:marRight w:val="0"/>
          <w:marTop w:val="0"/>
          <w:marBottom w:val="0"/>
          <w:divBdr>
            <w:top w:val="none" w:sz="0" w:space="0" w:color="auto"/>
            <w:left w:val="none" w:sz="0" w:space="0" w:color="auto"/>
            <w:bottom w:val="none" w:sz="0" w:space="0" w:color="auto"/>
            <w:right w:val="none" w:sz="0" w:space="0" w:color="auto"/>
          </w:divBdr>
        </w:div>
        <w:div w:id="1148475139">
          <w:marLeft w:val="0"/>
          <w:marRight w:val="0"/>
          <w:marTop w:val="0"/>
          <w:marBottom w:val="0"/>
          <w:divBdr>
            <w:top w:val="none" w:sz="0" w:space="0" w:color="auto"/>
            <w:left w:val="none" w:sz="0" w:space="0" w:color="auto"/>
            <w:bottom w:val="none" w:sz="0" w:space="0" w:color="auto"/>
            <w:right w:val="none" w:sz="0" w:space="0" w:color="auto"/>
          </w:divBdr>
        </w:div>
        <w:div w:id="738792113">
          <w:marLeft w:val="0"/>
          <w:marRight w:val="0"/>
          <w:marTop w:val="0"/>
          <w:marBottom w:val="0"/>
          <w:divBdr>
            <w:top w:val="none" w:sz="0" w:space="0" w:color="auto"/>
            <w:left w:val="none" w:sz="0" w:space="0" w:color="auto"/>
            <w:bottom w:val="none" w:sz="0" w:space="0" w:color="auto"/>
            <w:right w:val="none" w:sz="0" w:space="0" w:color="auto"/>
          </w:divBdr>
        </w:div>
        <w:div w:id="231156866">
          <w:marLeft w:val="0"/>
          <w:marRight w:val="0"/>
          <w:marTop w:val="0"/>
          <w:marBottom w:val="0"/>
          <w:divBdr>
            <w:top w:val="none" w:sz="0" w:space="0" w:color="auto"/>
            <w:left w:val="none" w:sz="0" w:space="0" w:color="auto"/>
            <w:bottom w:val="none" w:sz="0" w:space="0" w:color="auto"/>
            <w:right w:val="none" w:sz="0" w:space="0" w:color="auto"/>
          </w:divBdr>
        </w:div>
        <w:div w:id="127165948">
          <w:marLeft w:val="0"/>
          <w:marRight w:val="0"/>
          <w:marTop w:val="0"/>
          <w:marBottom w:val="0"/>
          <w:divBdr>
            <w:top w:val="none" w:sz="0" w:space="0" w:color="auto"/>
            <w:left w:val="none" w:sz="0" w:space="0" w:color="auto"/>
            <w:bottom w:val="none" w:sz="0" w:space="0" w:color="auto"/>
            <w:right w:val="none" w:sz="0" w:space="0" w:color="auto"/>
          </w:divBdr>
        </w:div>
        <w:div w:id="211237427">
          <w:marLeft w:val="0"/>
          <w:marRight w:val="0"/>
          <w:marTop w:val="0"/>
          <w:marBottom w:val="0"/>
          <w:divBdr>
            <w:top w:val="none" w:sz="0" w:space="0" w:color="auto"/>
            <w:left w:val="none" w:sz="0" w:space="0" w:color="auto"/>
            <w:bottom w:val="none" w:sz="0" w:space="0" w:color="auto"/>
            <w:right w:val="none" w:sz="0" w:space="0" w:color="auto"/>
          </w:divBdr>
        </w:div>
        <w:div w:id="1022046908">
          <w:marLeft w:val="0"/>
          <w:marRight w:val="0"/>
          <w:marTop w:val="0"/>
          <w:marBottom w:val="0"/>
          <w:divBdr>
            <w:top w:val="none" w:sz="0" w:space="0" w:color="auto"/>
            <w:left w:val="none" w:sz="0" w:space="0" w:color="auto"/>
            <w:bottom w:val="none" w:sz="0" w:space="0" w:color="auto"/>
            <w:right w:val="none" w:sz="0" w:space="0" w:color="auto"/>
          </w:divBdr>
        </w:div>
        <w:div w:id="1652712511">
          <w:marLeft w:val="0"/>
          <w:marRight w:val="0"/>
          <w:marTop w:val="0"/>
          <w:marBottom w:val="0"/>
          <w:divBdr>
            <w:top w:val="none" w:sz="0" w:space="0" w:color="auto"/>
            <w:left w:val="none" w:sz="0" w:space="0" w:color="auto"/>
            <w:bottom w:val="none" w:sz="0" w:space="0" w:color="auto"/>
            <w:right w:val="none" w:sz="0" w:space="0" w:color="auto"/>
          </w:divBdr>
        </w:div>
        <w:div w:id="1742024554">
          <w:marLeft w:val="0"/>
          <w:marRight w:val="0"/>
          <w:marTop w:val="0"/>
          <w:marBottom w:val="0"/>
          <w:divBdr>
            <w:top w:val="none" w:sz="0" w:space="0" w:color="auto"/>
            <w:left w:val="none" w:sz="0" w:space="0" w:color="auto"/>
            <w:bottom w:val="none" w:sz="0" w:space="0" w:color="auto"/>
            <w:right w:val="none" w:sz="0" w:space="0" w:color="auto"/>
          </w:divBdr>
        </w:div>
        <w:div w:id="414596040">
          <w:marLeft w:val="0"/>
          <w:marRight w:val="0"/>
          <w:marTop w:val="0"/>
          <w:marBottom w:val="0"/>
          <w:divBdr>
            <w:top w:val="none" w:sz="0" w:space="0" w:color="auto"/>
            <w:left w:val="none" w:sz="0" w:space="0" w:color="auto"/>
            <w:bottom w:val="none" w:sz="0" w:space="0" w:color="auto"/>
            <w:right w:val="none" w:sz="0" w:space="0" w:color="auto"/>
          </w:divBdr>
        </w:div>
        <w:div w:id="224533046">
          <w:marLeft w:val="0"/>
          <w:marRight w:val="0"/>
          <w:marTop w:val="0"/>
          <w:marBottom w:val="0"/>
          <w:divBdr>
            <w:top w:val="none" w:sz="0" w:space="0" w:color="auto"/>
            <w:left w:val="none" w:sz="0" w:space="0" w:color="auto"/>
            <w:bottom w:val="none" w:sz="0" w:space="0" w:color="auto"/>
            <w:right w:val="none" w:sz="0" w:space="0" w:color="auto"/>
          </w:divBdr>
        </w:div>
        <w:div w:id="343441357">
          <w:marLeft w:val="0"/>
          <w:marRight w:val="0"/>
          <w:marTop w:val="0"/>
          <w:marBottom w:val="0"/>
          <w:divBdr>
            <w:top w:val="none" w:sz="0" w:space="0" w:color="auto"/>
            <w:left w:val="none" w:sz="0" w:space="0" w:color="auto"/>
            <w:bottom w:val="none" w:sz="0" w:space="0" w:color="auto"/>
            <w:right w:val="none" w:sz="0" w:space="0" w:color="auto"/>
          </w:divBdr>
        </w:div>
        <w:div w:id="174812726">
          <w:marLeft w:val="0"/>
          <w:marRight w:val="0"/>
          <w:marTop w:val="0"/>
          <w:marBottom w:val="0"/>
          <w:divBdr>
            <w:top w:val="none" w:sz="0" w:space="0" w:color="auto"/>
            <w:left w:val="none" w:sz="0" w:space="0" w:color="auto"/>
            <w:bottom w:val="none" w:sz="0" w:space="0" w:color="auto"/>
            <w:right w:val="none" w:sz="0" w:space="0" w:color="auto"/>
          </w:divBdr>
        </w:div>
        <w:div w:id="638337407">
          <w:marLeft w:val="0"/>
          <w:marRight w:val="0"/>
          <w:marTop w:val="0"/>
          <w:marBottom w:val="0"/>
          <w:divBdr>
            <w:top w:val="none" w:sz="0" w:space="0" w:color="auto"/>
            <w:left w:val="none" w:sz="0" w:space="0" w:color="auto"/>
            <w:bottom w:val="none" w:sz="0" w:space="0" w:color="auto"/>
            <w:right w:val="none" w:sz="0" w:space="0" w:color="auto"/>
          </w:divBdr>
        </w:div>
        <w:div w:id="1294093088">
          <w:marLeft w:val="0"/>
          <w:marRight w:val="0"/>
          <w:marTop w:val="0"/>
          <w:marBottom w:val="0"/>
          <w:divBdr>
            <w:top w:val="none" w:sz="0" w:space="0" w:color="auto"/>
            <w:left w:val="none" w:sz="0" w:space="0" w:color="auto"/>
            <w:bottom w:val="none" w:sz="0" w:space="0" w:color="auto"/>
            <w:right w:val="none" w:sz="0" w:space="0" w:color="auto"/>
          </w:divBdr>
        </w:div>
        <w:div w:id="572351347">
          <w:marLeft w:val="0"/>
          <w:marRight w:val="0"/>
          <w:marTop w:val="0"/>
          <w:marBottom w:val="0"/>
          <w:divBdr>
            <w:top w:val="none" w:sz="0" w:space="0" w:color="auto"/>
            <w:left w:val="none" w:sz="0" w:space="0" w:color="auto"/>
            <w:bottom w:val="none" w:sz="0" w:space="0" w:color="auto"/>
            <w:right w:val="none" w:sz="0" w:space="0" w:color="auto"/>
          </w:divBdr>
        </w:div>
        <w:div w:id="1377705577">
          <w:marLeft w:val="0"/>
          <w:marRight w:val="0"/>
          <w:marTop w:val="0"/>
          <w:marBottom w:val="0"/>
          <w:divBdr>
            <w:top w:val="none" w:sz="0" w:space="0" w:color="auto"/>
            <w:left w:val="none" w:sz="0" w:space="0" w:color="auto"/>
            <w:bottom w:val="none" w:sz="0" w:space="0" w:color="auto"/>
            <w:right w:val="none" w:sz="0" w:space="0" w:color="auto"/>
          </w:divBdr>
        </w:div>
        <w:div w:id="1004012165">
          <w:marLeft w:val="0"/>
          <w:marRight w:val="0"/>
          <w:marTop w:val="0"/>
          <w:marBottom w:val="0"/>
          <w:divBdr>
            <w:top w:val="none" w:sz="0" w:space="0" w:color="auto"/>
            <w:left w:val="none" w:sz="0" w:space="0" w:color="auto"/>
            <w:bottom w:val="none" w:sz="0" w:space="0" w:color="auto"/>
            <w:right w:val="none" w:sz="0" w:space="0" w:color="auto"/>
          </w:divBdr>
        </w:div>
        <w:div w:id="816460792">
          <w:marLeft w:val="0"/>
          <w:marRight w:val="0"/>
          <w:marTop w:val="0"/>
          <w:marBottom w:val="0"/>
          <w:divBdr>
            <w:top w:val="none" w:sz="0" w:space="0" w:color="auto"/>
            <w:left w:val="none" w:sz="0" w:space="0" w:color="auto"/>
            <w:bottom w:val="none" w:sz="0" w:space="0" w:color="auto"/>
            <w:right w:val="none" w:sz="0" w:space="0" w:color="auto"/>
          </w:divBdr>
        </w:div>
        <w:div w:id="1394352684">
          <w:marLeft w:val="0"/>
          <w:marRight w:val="0"/>
          <w:marTop w:val="0"/>
          <w:marBottom w:val="0"/>
          <w:divBdr>
            <w:top w:val="none" w:sz="0" w:space="0" w:color="auto"/>
            <w:left w:val="none" w:sz="0" w:space="0" w:color="auto"/>
            <w:bottom w:val="none" w:sz="0" w:space="0" w:color="auto"/>
            <w:right w:val="none" w:sz="0" w:space="0" w:color="auto"/>
          </w:divBdr>
        </w:div>
        <w:div w:id="280452812">
          <w:marLeft w:val="0"/>
          <w:marRight w:val="0"/>
          <w:marTop w:val="0"/>
          <w:marBottom w:val="0"/>
          <w:divBdr>
            <w:top w:val="none" w:sz="0" w:space="0" w:color="auto"/>
            <w:left w:val="none" w:sz="0" w:space="0" w:color="auto"/>
            <w:bottom w:val="none" w:sz="0" w:space="0" w:color="auto"/>
            <w:right w:val="none" w:sz="0" w:space="0" w:color="auto"/>
          </w:divBdr>
        </w:div>
        <w:div w:id="1490635992">
          <w:marLeft w:val="0"/>
          <w:marRight w:val="0"/>
          <w:marTop w:val="0"/>
          <w:marBottom w:val="0"/>
          <w:divBdr>
            <w:top w:val="none" w:sz="0" w:space="0" w:color="auto"/>
            <w:left w:val="none" w:sz="0" w:space="0" w:color="auto"/>
            <w:bottom w:val="none" w:sz="0" w:space="0" w:color="auto"/>
            <w:right w:val="none" w:sz="0" w:space="0" w:color="auto"/>
          </w:divBdr>
        </w:div>
        <w:div w:id="155726737">
          <w:marLeft w:val="0"/>
          <w:marRight w:val="0"/>
          <w:marTop w:val="0"/>
          <w:marBottom w:val="0"/>
          <w:divBdr>
            <w:top w:val="none" w:sz="0" w:space="0" w:color="auto"/>
            <w:left w:val="none" w:sz="0" w:space="0" w:color="auto"/>
            <w:bottom w:val="none" w:sz="0" w:space="0" w:color="auto"/>
            <w:right w:val="none" w:sz="0" w:space="0" w:color="auto"/>
          </w:divBdr>
        </w:div>
        <w:div w:id="1546061488">
          <w:marLeft w:val="0"/>
          <w:marRight w:val="0"/>
          <w:marTop w:val="0"/>
          <w:marBottom w:val="0"/>
          <w:divBdr>
            <w:top w:val="none" w:sz="0" w:space="0" w:color="auto"/>
            <w:left w:val="none" w:sz="0" w:space="0" w:color="auto"/>
            <w:bottom w:val="none" w:sz="0" w:space="0" w:color="auto"/>
            <w:right w:val="none" w:sz="0" w:space="0" w:color="auto"/>
          </w:divBdr>
        </w:div>
        <w:div w:id="403528348">
          <w:marLeft w:val="0"/>
          <w:marRight w:val="0"/>
          <w:marTop w:val="0"/>
          <w:marBottom w:val="0"/>
          <w:divBdr>
            <w:top w:val="none" w:sz="0" w:space="0" w:color="auto"/>
            <w:left w:val="none" w:sz="0" w:space="0" w:color="auto"/>
            <w:bottom w:val="none" w:sz="0" w:space="0" w:color="auto"/>
            <w:right w:val="none" w:sz="0" w:space="0" w:color="auto"/>
          </w:divBdr>
        </w:div>
        <w:div w:id="986591220">
          <w:marLeft w:val="0"/>
          <w:marRight w:val="0"/>
          <w:marTop w:val="0"/>
          <w:marBottom w:val="0"/>
          <w:divBdr>
            <w:top w:val="none" w:sz="0" w:space="0" w:color="auto"/>
            <w:left w:val="none" w:sz="0" w:space="0" w:color="auto"/>
            <w:bottom w:val="none" w:sz="0" w:space="0" w:color="auto"/>
            <w:right w:val="none" w:sz="0" w:space="0" w:color="auto"/>
          </w:divBdr>
        </w:div>
        <w:div w:id="1136609017">
          <w:marLeft w:val="0"/>
          <w:marRight w:val="0"/>
          <w:marTop w:val="0"/>
          <w:marBottom w:val="0"/>
          <w:divBdr>
            <w:top w:val="none" w:sz="0" w:space="0" w:color="auto"/>
            <w:left w:val="none" w:sz="0" w:space="0" w:color="auto"/>
            <w:bottom w:val="none" w:sz="0" w:space="0" w:color="auto"/>
            <w:right w:val="none" w:sz="0" w:space="0" w:color="auto"/>
          </w:divBdr>
        </w:div>
        <w:div w:id="1512112134">
          <w:marLeft w:val="0"/>
          <w:marRight w:val="0"/>
          <w:marTop w:val="0"/>
          <w:marBottom w:val="0"/>
          <w:divBdr>
            <w:top w:val="none" w:sz="0" w:space="0" w:color="auto"/>
            <w:left w:val="none" w:sz="0" w:space="0" w:color="auto"/>
            <w:bottom w:val="none" w:sz="0" w:space="0" w:color="auto"/>
            <w:right w:val="none" w:sz="0" w:space="0" w:color="auto"/>
          </w:divBdr>
        </w:div>
        <w:div w:id="1689284640">
          <w:marLeft w:val="0"/>
          <w:marRight w:val="0"/>
          <w:marTop w:val="0"/>
          <w:marBottom w:val="0"/>
          <w:divBdr>
            <w:top w:val="none" w:sz="0" w:space="0" w:color="auto"/>
            <w:left w:val="none" w:sz="0" w:space="0" w:color="auto"/>
            <w:bottom w:val="none" w:sz="0" w:space="0" w:color="auto"/>
            <w:right w:val="none" w:sz="0" w:space="0" w:color="auto"/>
          </w:divBdr>
        </w:div>
        <w:div w:id="843594889">
          <w:marLeft w:val="0"/>
          <w:marRight w:val="0"/>
          <w:marTop w:val="0"/>
          <w:marBottom w:val="0"/>
          <w:divBdr>
            <w:top w:val="none" w:sz="0" w:space="0" w:color="auto"/>
            <w:left w:val="none" w:sz="0" w:space="0" w:color="auto"/>
            <w:bottom w:val="none" w:sz="0" w:space="0" w:color="auto"/>
            <w:right w:val="none" w:sz="0" w:space="0" w:color="auto"/>
          </w:divBdr>
        </w:div>
        <w:div w:id="2077774295">
          <w:marLeft w:val="0"/>
          <w:marRight w:val="0"/>
          <w:marTop w:val="0"/>
          <w:marBottom w:val="0"/>
          <w:divBdr>
            <w:top w:val="none" w:sz="0" w:space="0" w:color="auto"/>
            <w:left w:val="none" w:sz="0" w:space="0" w:color="auto"/>
            <w:bottom w:val="none" w:sz="0" w:space="0" w:color="auto"/>
            <w:right w:val="none" w:sz="0" w:space="0" w:color="auto"/>
          </w:divBdr>
        </w:div>
        <w:div w:id="1340431287">
          <w:marLeft w:val="0"/>
          <w:marRight w:val="0"/>
          <w:marTop w:val="0"/>
          <w:marBottom w:val="0"/>
          <w:divBdr>
            <w:top w:val="none" w:sz="0" w:space="0" w:color="auto"/>
            <w:left w:val="none" w:sz="0" w:space="0" w:color="auto"/>
            <w:bottom w:val="none" w:sz="0" w:space="0" w:color="auto"/>
            <w:right w:val="none" w:sz="0" w:space="0" w:color="auto"/>
          </w:divBdr>
        </w:div>
        <w:div w:id="768622225">
          <w:marLeft w:val="0"/>
          <w:marRight w:val="0"/>
          <w:marTop w:val="0"/>
          <w:marBottom w:val="0"/>
          <w:divBdr>
            <w:top w:val="none" w:sz="0" w:space="0" w:color="auto"/>
            <w:left w:val="none" w:sz="0" w:space="0" w:color="auto"/>
            <w:bottom w:val="none" w:sz="0" w:space="0" w:color="auto"/>
            <w:right w:val="none" w:sz="0" w:space="0" w:color="auto"/>
          </w:divBdr>
        </w:div>
        <w:div w:id="1402561059">
          <w:marLeft w:val="0"/>
          <w:marRight w:val="0"/>
          <w:marTop w:val="0"/>
          <w:marBottom w:val="0"/>
          <w:divBdr>
            <w:top w:val="none" w:sz="0" w:space="0" w:color="auto"/>
            <w:left w:val="none" w:sz="0" w:space="0" w:color="auto"/>
            <w:bottom w:val="none" w:sz="0" w:space="0" w:color="auto"/>
            <w:right w:val="none" w:sz="0" w:space="0" w:color="auto"/>
          </w:divBdr>
        </w:div>
        <w:div w:id="43720635">
          <w:marLeft w:val="0"/>
          <w:marRight w:val="0"/>
          <w:marTop w:val="0"/>
          <w:marBottom w:val="0"/>
          <w:divBdr>
            <w:top w:val="none" w:sz="0" w:space="0" w:color="auto"/>
            <w:left w:val="none" w:sz="0" w:space="0" w:color="auto"/>
            <w:bottom w:val="none" w:sz="0" w:space="0" w:color="auto"/>
            <w:right w:val="none" w:sz="0" w:space="0" w:color="auto"/>
          </w:divBdr>
        </w:div>
        <w:div w:id="1561668680">
          <w:marLeft w:val="0"/>
          <w:marRight w:val="0"/>
          <w:marTop w:val="0"/>
          <w:marBottom w:val="0"/>
          <w:divBdr>
            <w:top w:val="none" w:sz="0" w:space="0" w:color="auto"/>
            <w:left w:val="none" w:sz="0" w:space="0" w:color="auto"/>
            <w:bottom w:val="none" w:sz="0" w:space="0" w:color="auto"/>
            <w:right w:val="none" w:sz="0" w:space="0" w:color="auto"/>
          </w:divBdr>
        </w:div>
        <w:div w:id="1456871762">
          <w:marLeft w:val="0"/>
          <w:marRight w:val="0"/>
          <w:marTop w:val="0"/>
          <w:marBottom w:val="0"/>
          <w:divBdr>
            <w:top w:val="none" w:sz="0" w:space="0" w:color="auto"/>
            <w:left w:val="none" w:sz="0" w:space="0" w:color="auto"/>
            <w:bottom w:val="none" w:sz="0" w:space="0" w:color="auto"/>
            <w:right w:val="none" w:sz="0" w:space="0" w:color="auto"/>
          </w:divBdr>
        </w:div>
        <w:div w:id="1826629225">
          <w:marLeft w:val="0"/>
          <w:marRight w:val="0"/>
          <w:marTop w:val="0"/>
          <w:marBottom w:val="0"/>
          <w:divBdr>
            <w:top w:val="none" w:sz="0" w:space="0" w:color="auto"/>
            <w:left w:val="none" w:sz="0" w:space="0" w:color="auto"/>
            <w:bottom w:val="none" w:sz="0" w:space="0" w:color="auto"/>
            <w:right w:val="none" w:sz="0" w:space="0" w:color="auto"/>
          </w:divBdr>
        </w:div>
        <w:div w:id="480923719">
          <w:marLeft w:val="0"/>
          <w:marRight w:val="0"/>
          <w:marTop w:val="0"/>
          <w:marBottom w:val="0"/>
          <w:divBdr>
            <w:top w:val="none" w:sz="0" w:space="0" w:color="auto"/>
            <w:left w:val="none" w:sz="0" w:space="0" w:color="auto"/>
            <w:bottom w:val="none" w:sz="0" w:space="0" w:color="auto"/>
            <w:right w:val="none" w:sz="0" w:space="0" w:color="auto"/>
          </w:divBdr>
        </w:div>
        <w:div w:id="1638490894">
          <w:marLeft w:val="0"/>
          <w:marRight w:val="0"/>
          <w:marTop w:val="0"/>
          <w:marBottom w:val="0"/>
          <w:divBdr>
            <w:top w:val="none" w:sz="0" w:space="0" w:color="auto"/>
            <w:left w:val="none" w:sz="0" w:space="0" w:color="auto"/>
            <w:bottom w:val="none" w:sz="0" w:space="0" w:color="auto"/>
            <w:right w:val="none" w:sz="0" w:space="0" w:color="auto"/>
          </w:divBdr>
        </w:div>
        <w:div w:id="1200825512">
          <w:marLeft w:val="0"/>
          <w:marRight w:val="0"/>
          <w:marTop w:val="0"/>
          <w:marBottom w:val="0"/>
          <w:divBdr>
            <w:top w:val="none" w:sz="0" w:space="0" w:color="auto"/>
            <w:left w:val="none" w:sz="0" w:space="0" w:color="auto"/>
            <w:bottom w:val="none" w:sz="0" w:space="0" w:color="auto"/>
            <w:right w:val="none" w:sz="0" w:space="0" w:color="auto"/>
          </w:divBdr>
        </w:div>
        <w:div w:id="1148013671">
          <w:marLeft w:val="0"/>
          <w:marRight w:val="0"/>
          <w:marTop w:val="0"/>
          <w:marBottom w:val="0"/>
          <w:divBdr>
            <w:top w:val="none" w:sz="0" w:space="0" w:color="auto"/>
            <w:left w:val="none" w:sz="0" w:space="0" w:color="auto"/>
            <w:bottom w:val="none" w:sz="0" w:space="0" w:color="auto"/>
            <w:right w:val="none" w:sz="0" w:space="0" w:color="auto"/>
          </w:divBdr>
        </w:div>
        <w:div w:id="453597270">
          <w:marLeft w:val="0"/>
          <w:marRight w:val="0"/>
          <w:marTop w:val="0"/>
          <w:marBottom w:val="0"/>
          <w:divBdr>
            <w:top w:val="none" w:sz="0" w:space="0" w:color="auto"/>
            <w:left w:val="none" w:sz="0" w:space="0" w:color="auto"/>
            <w:bottom w:val="none" w:sz="0" w:space="0" w:color="auto"/>
            <w:right w:val="none" w:sz="0" w:space="0" w:color="auto"/>
          </w:divBdr>
        </w:div>
        <w:div w:id="259065537">
          <w:marLeft w:val="0"/>
          <w:marRight w:val="0"/>
          <w:marTop w:val="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4910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tis.org/glossar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13403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Richard Shockey</cp:lastModifiedBy>
  <cp:revision>5</cp:revision>
  <cp:lastPrinted>2018-02-01T23:24:00Z</cp:lastPrinted>
  <dcterms:created xsi:type="dcterms:W3CDTF">2019-02-25T16:13:00Z</dcterms:created>
  <dcterms:modified xsi:type="dcterms:W3CDTF">2019-05-20T18:38:00Z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russp@microsoft.com</vt:lpwstr>
  </property>
  <property fmtid="{D5CDD505-2E9C-101B-9397-08002B2CF9AE}" pid="5" name="MSIP_Label_f42aa342-8706-4288-bd11-ebb85995028c_SetDate">
    <vt:lpwstr>2018-05-17T07:59:18.8486526Z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