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EA48CC2" w14:textId="77777777" w:rsidR="00590C1B" w:rsidRDefault="00590C1B">
      <w:pPr>
        <w:ind w:right="-288"/>
        <w:jc w:val="right"/>
        <w:outlineLvl w:val="0"/>
        <w:rPr>
          <w:b/>
          <w:sz w:val="28"/>
        </w:rPr>
      </w:pPr>
    </w:p>
    <w:p w14:paraId="09B8EEAF" w14:textId="77777777" w:rsidR="00590C1B" w:rsidRDefault="007E23D3">
      <w:pPr>
        <w:ind w:right="-288"/>
        <w:jc w:val="right"/>
        <w:outlineLvl w:val="0"/>
        <w:rPr>
          <w:b/>
          <w:sz w:val="28"/>
        </w:rPr>
      </w:pPr>
      <w:r>
        <w:rPr>
          <w:bCs/>
          <w:sz w:val="28"/>
        </w:rPr>
        <w:t>ATIS Standard 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77777777" w:rsidR="00590C1B"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3C501E">
        <w:rPr>
          <w:rFonts w:cs="Arial"/>
          <w:b/>
          <w:bCs/>
          <w:iCs/>
          <w:sz w:val="36"/>
        </w:rPr>
        <w:t xml:space="preserve">a Framework for </w:t>
      </w:r>
      <w:r w:rsidR="00CB0374">
        <w:rPr>
          <w:rFonts w:cs="Arial"/>
          <w:b/>
          <w:bCs/>
          <w:iCs/>
          <w:sz w:val="36"/>
        </w:rPr>
        <w:t xml:space="preserve">SHAKEN Attestation and </w:t>
      </w:r>
      <w:r w:rsidR="00412166" w:rsidRPr="00412166">
        <w:rPr>
          <w:rFonts w:cs="Arial"/>
          <w:b/>
          <w:bCs/>
          <w:iCs/>
          <w:sz w:val="36"/>
        </w:rPr>
        <w:t>Origination Identifier</w:t>
      </w:r>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77777777" w:rsidR="00590C1B" w:rsidRDefault="00590C1B">
      <w:r>
        <w:t xml:space="preserve">Approved </w:t>
      </w:r>
      <w:r>
        <w:rPr>
          <w:iCs/>
          <w:highlight w:val="yellow"/>
        </w:rPr>
        <w:t>Month DD, YYYY</w:t>
      </w:r>
    </w:p>
    <w:p w14:paraId="16519AF0" w14:textId="77777777" w:rsidR="00590C1B" w:rsidRDefault="00590C1B">
      <w:pPr>
        <w:rPr>
          <w:b/>
        </w:rPr>
      </w:pPr>
    </w:p>
    <w:p w14:paraId="53B19ACA" w14:textId="77777777" w:rsidR="00590C1B" w:rsidRDefault="00590C1B">
      <w:pPr>
        <w:outlineLvl w:val="0"/>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1EE89344" w14:textId="54DE851B" w:rsidR="00164C33" w:rsidRDefault="00164C33" w:rsidP="00BC47C9">
      <w:pPr>
        <w:pBdr>
          <w:bottom w:val="single" w:sz="4" w:space="1" w:color="auto"/>
        </w:pBdr>
      </w:pPr>
    </w:p>
    <w:p w14:paraId="2A2BA2B5" w14:textId="77777777" w:rsidR="00164C33" w:rsidRPr="00164C33" w:rsidRDefault="00164C33" w:rsidP="00485970"/>
    <w:p w14:paraId="170E3051" w14:textId="77777777" w:rsidR="00164C33" w:rsidRPr="00922EB8" w:rsidRDefault="00164C33" w:rsidP="00485970"/>
    <w:p w14:paraId="0A2D53D2" w14:textId="77777777" w:rsidR="00164C33" w:rsidRPr="00922EB8" w:rsidRDefault="00164C33" w:rsidP="00485970"/>
    <w:p w14:paraId="77A535AC" w14:textId="16605F1B" w:rsidR="006F12CE" w:rsidRDefault="00590C1B" w:rsidP="00BC47C9">
      <w:pPr>
        <w:pBdr>
          <w:bottom w:val="single" w:sz="4" w:space="1" w:color="auto"/>
        </w:pBdr>
        <w:rPr>
          <w:b/>
        </w:rPr>
      </w:pPr>
      <w:r w:rsidRPr="00922EB8">
        <w:br w:type="page"/>
      </w:r>
      <w:r w:rsidRPr="006F12CE">
        <w:rPr>
          <w:b/>
        </w:rPr>
        <w:lastRenderedPageBreak/>
        <w:t>Foreword</w:t>
      </w:r>
    </w:p>
    <w:p w14:paraId="5B664DBA"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7EC0BC7C"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30BD662"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82C58D3"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8586DB9" w14:textId="77777777" w:rsidR="004B443F" w:rsidRDefault="004B443F" w:rsidP="004B443F">
      <w:pPr>
        <w:rPr>
          <w:rFonts w:cs="Arial"/>
          <w:sz w:val="18"/>
        </w:rPr>
      </w:pPr>
    </w:p>
    <w:p w14:paraId="1376083C" w14:textId="77777777" w:rsidR="004B443F" w:rsidRPr="001E0567" w:rsidRDefault="004B443F" w:rsidP="004B443F">
      <w:r w:rsidRPr="001E0567">
        <w:rPr>
          <w:highlight w:val="yellow"/>
        </w:rPr>
        <w:t>[</w:t>
      </w:r>
      <w:r w:rsidR="001F2162" w:rsidRPr="001E0567">
        <w:rPr>
          <w:b/>
          <w:highlight w:val="yellow"/>
        </w:rPr>
        <w:t>LEADERSHIP</w:t>
      </w:r>
      <w:r w:rsidRPr="001E0567">
        <w:rPr>
          <w:b/>
          <w:highlight w:val="yellow"/>
        </w:rPr>
        <w:t xml:space="preserve"> LIST</w:t>
      </w:r>
      <w:r w:rsidRPr="001E0567">
        <w:rPr>
          <w:highlight w:val="yellow"/>
        </w:rPr>
        <w:t>]</w:t>
      </w:r>
    </w:p>
    <w:p w14:paraId="322697DA" w14:textId="77777777" w:rsidR="004B443F" w:rsidRPr="001E0567" w:rsidRDefault="004B443F" w:rsidP="004B443F"/>
    <w:p w14:paraId="0D9C4690" w14:textId="77777777" w:rsidR="004B443F" w:rsidRPr="001E0567" w:rsidRDefault="004B443F" w:rsidP="004B443F">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77529ED5"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1076DF07" w14:textId="77777777">
        <w:trPr>
          <w:trHeight w:val="242"/>
          <w:tblHeader/>
        </w:trPr>
        <w:tc>
          <w:tcPr>
            <w:tcW w:w="2574" w:type="dxa"/>
            <w:shd w:val="clear" w:color="auto" w:fill="E0E0E0"/>
          </w:tcPr>
          <w:p w14:paraId="37A44B9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34F49D3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740647B"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6C5B952D" w14:textId="77777777" w:rsidR="007E23D3" w:rsidRPr="007E23D3" w:rsidRDefault="007E23D3" w:rsidP="00572688">
            <w:pPr>
              <w:rPr>
                <w:b/>
                <w:sz w:val="18"/>
                <w:szCs w:val="18"/>
              </w:rPr>
            </w:pPr>
            <w:r w:rsidRPr="007E23D3">
              <w:rPr>
                <w:b/>
                <w:sz w:val="18"/>
                <w:szCs w:val="18"/>
              </w:rPr>
              <w:t>Author</w:t>
            </w:r>
          </w:p>
        </w:tc>
      </w:tr>
      <w:tr w:rsidR="007E23D3" w:rsidRPr="007E23D3" w14:paraId="2B9EA232" w14:textId="77777777">
        <w:tc>
          <w:tcPr>
            <w:tcW w:w="2574" w:type="dxa"/>
          </w:tcPr>
          <w:p w14:paraId="3B56D6CD" w14:textId="77777777" w:rsidR="007E23D3" w:rsidRPr="007E23D3" w:rsidRDefault="007E23D3" w:rsidP="00572688">
            <w:pPr>
              <w:rPr>
                <w:rFonts w:cs="Arial"/>
                <w:sz w:val="18"/>
                <w:szCs w:val="18"/>
              </w:rPr>
            </w:pPr>
          </w:p>
        </w:tc>
        <w:tc>
          <w:tcPr>
            <w:tcW w:w="1634" w:type="dxa"/>
          </w:tcPr>
          <w:p w14:paraId="0D7B465A" w14:textId="77777777" w:rsidR="007E23D3" w:rsidRPr="007E23D3" w:rsidRDefault="007E23D3" w:rsidP="00572688">
            <w:pPr>
              <w:rPr>
                <w:rFonts w:cs="Arial"/>
                <w:sz w:val="18"/>
                <w:szCs w:val="18"/>
              </w:rPr>
            </w:pPr>
          </w:p>
        </w:tc>
        <w:tc>
          <w:tcPr>
            <w:tcW w:w="4000" w:type="dxa"/>
          </w:tcPr>
          <w:p w14:paraId="4D468FEF" w14:textId="77777777" w:rsidR="007E23D3" w:rsidRPr="007E23D3" w:rsidRDefault="007E23D3" w:rsidP="00572688">
            <w:pPr>
              <w:pStyle w:val="CommentSubject"/>
              <w:jc w:val="left"/>
              <w:rPr>
                <w:rFonts w:cs="Arial"/>
                <w:b w:val="0"/>
                <w:sz w:val="18"/>
                <w:szCs w:val="18"/>
              </w:rPr>
            </w:pPr>
          </w:p>
        </w:tc>
        <w:tc>
          <w:tcPr>
            <w:tcW w:w="2088" w:type="dxa"/>
          </w:tcPr>
          <w:p w14:paraId="270CA83B" w14:textId="77777777" w:rsidR="007E23D3" w:rsidRPr="007E23D3" w:rsidRDefault="007E23D3" w:rsidP="00572688">
            <w:pPr>
              <w:jc w:val="left"/>
              <w:rPr>
                <w:rFonts w:cs="Arial"/>
                <w:sz w:val="18"/>
                <w:szCs w:val="18"/>
              </w:rPr>
            </w:pPr>
          </w:p>
        </w:tc>
      </w:tr>
    </w:tbl>
    <w:p w14:paraId="7FC12BEE" w14:textId="77777777" w:rsidR="007E23D3" w:rsidRDefault="007E23D3" w:rsidP="00686C71">
      <w:pPr>
        <w:rPr>
          <w:bCs/>
          <w:lang w:val="fr-FR"/>
        </w:rPr>
      </w:pPr>
    </w:p>
    <w:p w14:paraId="30BF4C83" w14:textId="77777777" w:rsidR="007E23D3" w:rsidRDefault="007E23D3" w:rsidP="00686C71">
      <w:pPr>
        <w:rPr>
          <w:bCs/>
          <w:lang w:val="fr-FR"/>
        </w:rPr>
      </w:pPr>
    </w:p>
    <w:p w14:paraId="35E70B9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7BB47D1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62ECD84" w14:textId="77777777" w:rsidR="00590C1B" w:rsidRDefault="00590C1B">
      <w:r>
        <w:rPr>
          <w:highlight w:val="yellow"/>
        </w:rPr>
        <w:t>[INSERT]</w:t>
      </w:r>
    </w:p>
    <w:p w14:paraId="5C8F20C9" w14:textId="77777777" w:rsidR="00590C1B" w:rsidRDefault="00590C1B"/>
    <w:p w14:paraId="79E9A512" w14:textId="77777777" w:rsidR="00590C1B" w:rsidRDefault="00590C1B"/>
    <w:p w14:paraId="136E8C84" w14:textId="77777777" w:rsidR="00590C1B" w:rsidRPr="006F12CE" w:rsidRDefault="00590C1B" w:rsidP="00BC47C9">
      <w:pPr>
        <w:pBdr>
          <w:bottom w:val="single" w:sz="4" w:space="1" w:color="auto"/>
        </w:pBdr>
        <w:rPr>
          <w:b/>
        </w:rPr>
      </w:pPr>
      <w:r w:rsidRPr="006F12CE">
        <w:rPr>
          <w:b/>
        </w:rPr>
        <w:t>Table of Figures</w:t>
      </w:r>
    </w:p>
    <w:p w14:paraId="131169DD" w14:textId="77777777" w:rsidR="00590C1B" w:rsidRDefault="00590C1B"/>
    <w:p w14:paraId="1E1708D2" w14:textId="77777777" w:rsidR="00590C1B" w:rsidRDefault="00590C1B">
      <w:r>
        <w:rPr>
          <w:highlight w:val="yellow"/>
        </w:rPr>
        <w:t>[INSERT]</w:t>
      </w:r>
    </w:p>
    <w:p w14:paraId="74BA2957" w14:textId="77777777" w:rsidR="00590C1B" w:rsidRDefault="00590C1B"/>
    <w:p w14:paraId="24D0F2A2" w14:textId="77777777" w:rsidR="00590C1B" w:rsidRDefault="00590C1B"/>
    <w:p w14:paraId="7EF8E66C" w14:textId="77777777" w:rsidR="00590C1B" w:rsidRPr="006F12CE" w:rsidRDefault="00590C1B" w:rsidP="00BC47C9">
      <w:pPr>
        <w:pBdr>
          <w:bottom w:val="single" w:sz="4" w:space="1" w:color="auto"/>
        </w:pBdr>
        <w:rPr>
          <w:b/>
        </w:rPr>
      </w:pPr>
      <w:r w:rsidRPr="006F12CE">
        <w:rPr>
          <w:b/>
        </w:rPr>
        <w:t>Table of Tables</w:t>
      </w:r>
    </w:p>
    <w:p w14:paraId="2DACB891" w14:textId="77777777" w:rsidR="00590C1B" w:rsidRDefault="00590C1B"/>
    <w:p w14:paraId="56316BEA" w14:textId="77777777" w:rsidR="00590C1B" w:rsidRDefault="00590C1B">
      <w:r>
        <w:rPr>
          <w:highlight w:val="yellow"/>
        </w:rPr>
        <w:t>[INSERT]</w:t>
      </w:r>
    </w:p>
    <w:p w14:paraId="4105D6A9" w14:textId="77777777" w:rsidR="00590C1B" w:rsidRDefault="00590C1B"/>
    <w:p w14:paraId="1808E564" w14:textId="77777777" w:rsidR="00590C1B" w:rsidRDefault="00590C1B"/>
    <w:p w14:paraId="2854F88F" w14:textId="77777777" w:rsidR="00590C1B" w:rsidRDefault="00590C1B"/>
    <w:p w14:paraId="5ED04783" w14:textId="77777777" w:rsidR="00590C1B" w:rsidRDefault="00590C1B">
      <w:pPr>
        <w:sectPr w:rsidR="00590C1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775443F4" w14:textId="77777777" w:rsidR="004B443F" w:rsidRDefault="00424AF1" w:rsidP="00652FD6">
      <w:pPr>
        <w:pStyle w:val="Heading1"/>
      </w:pPr>
      <w:r w:rsidRPr="00652FD6">
        <w:lastRenderedPageBreak/>
        <w:t>Scope</w:t>
      </w:r>
      <w:r>
        <w:t>, Purpose, &amp; Application</w:t>
      </w:r>
    </w:p>
    <w:p w14:paraId="76BFDFE6" w14:textId="77777777" w:rsidR="00424AF1" w:rsidRDefault="00424AF1" w:rsidP="004B4A7C">
      <w:pPr>
        <w:pStyle w:val="Heading2"/>
      </w:pPr>
      <w:r>
        <w:t>Scope</w:t>
      </w:r>
    </w:p>
    <w:p w14:paraId="39FD68ED" w14:textId="47AEDB3A" w:rsidR="003D3428" w:rsidRDefault="00AD6167" w:rsidP="003D3428">
      <w:r>
        <w:t xml:space="preserve">This technical report </w:t>
      </w:r>
      <w:r w:rsidR="006012B2">
        <w:t xml:space="preserve">provides </w:t>
      </w:r>
      <w:r w:rsidR="003D3428">
        <w:t xml:space="preserve">a framework </w:t>
      </w:r>
      <w:r w:rsidR="00CB0374">
        <w:t xml:space="preserve">for SHAKEN </w:t>
      </w:r>
      <w:r w:rsidR="00997E24">
        <w:t>(</w:t>
      </w:r>
      <w:r w:rsidR="00997E24" w:rsidRPr="007B6310">
        <w:t>ATIS-1000074</w:t>
      </w:r>
      <w:r w:rsidR="00997E24">
        <w:t xml:space="preserve">) </w:t>
      </w:r>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r>
        <w:t>Purpose</w:t>
      </w:r>
    </w:p>
    <w:p w14:paraId="23420B06" w14:textId="2B0EA450" w:rsidR="00284D20" w:rsidRDefault="00467D52" w:rsidP="00284D20">
      <w:r>
        <w:t xml:space="preserve">The population of attestation indicator and origination identifier in the SHAKEN Identity header rely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STI-AS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3374357" w14:textId="77777777" w:rsidR="00D374A4" w:rsidRPr="00284D20" w:rsidRDefault="00D374A4" w:rsidP="00284D20"/>
    <w:p w14:paraId="7A1F19C6" w14:textId="77777777" w:rsidR="00424AF1" w:rsidRDefault="00424AF1" w:rsidP="00424AF1"/>
    <w:p w14:paraId="4BA15921" w14:textId="77777777" w:rsidR="00424AF1" w:rsidRDefault="00284D20" w:rsidP="00424AF1">
      <w:r>
        <w:t>.</w:t>
      </w:r>
    </w:p>
    <w:p w14:paraId="07E52F98" w14:textId="77777777" w:rsidR="00424AF1" w:rsidRDefault="00424AF1" w:rsidP="00424AF1"/>
    <w:p w14:paraId="7E5F7D35" w14:textId="77777777" w:rsidR="00424AF1" w:rsidRDefault="00424AF1" w:rsidP="00652FD6">
      <w:pPr>
        <w:pStyle w:val="Heading1"/>
      </w:pPr>
      <w:r w:rsidRPr="00652FD6">
        <w:t>Normative</w:t>
      </w:r>
      <w:r>
        <w:t xml:space="preserve"> References</w:t>
      </w:r>
    </w:p>
    <w:p w14:paraId="305353CA"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7C237D7" w14:textId="77777777" w:rsidR="002B7015" w:rsidRDefault="007B6310" w:rsidP="00424AF1">
      <w:r w:rsidRPr="007B6310">
        <w:t xml:space="preserve">[Ref </w:t>
      </w:r>
      <w:r>
        <w:t>1</w:t>
      </w:r>
      <w:r w:rsidRPr="007B6310">
        <w:t>] ATIS-1000074, Signature-based Handling of Asserted Inf</w:t>
      </w:r>
      <w:r>
        <w:t>ormation using toKENs (SHAKEN)</w:t>
      </w:r>
    </w:p>
    <w:p w14:paraId="40E4E336" w14:textId="119177AF" w:rsidR="00CD2B93" w:rsidRDefault="00CD2B93" w:rsidP="00CD2B93">
      <w:r>
        <w:t xml:space="preserve">[Ref 2] </w:t>
      </w:r>
      <w:r w:rsidR="006704BA" w:rsidRPr="006704BA">
        <w:t>ATIS-1000080</w:t>
      </w:r>
      <w:r w:rsidR="006704BA">
        <w:t xml:space="preserve"> </w:t>
      </w:r>
      <w:r>
        <w:t>Signature-based Handling of Asserted information using toKENs (SHAKEN): Governance Model and Certificate Management</w:t>
      </w:r>
    </w:p>
    <w:p w14:paraId="27ED599F" w14:textId="77777777" w:rsidR="00A20D12" w:rsidRDefault="00C31C7D" w:rsidP="00CD2B93">
      <w:r>
        <w:t>[Ref 3] ITU-T Recommendation X.811 (04/1995) |</w:t>
      </w:r>
      <w:r w:rsidRPr="00C31C7D">
        <w:t xml:space="preserve"> </w:t>
      </w:r>
      <w:r>
        <w:t xml:space="preserve">ISO/IEC 10181-2:1996, </w:t>
      </w:r>
      <w:r w:rsidRPr="00C31C7D">
        <w:t>Information technology – Open Systems Interconnection – Security frameworks for open systems: Authentication framework</w:t>
      </w:r>
    </w:p>
    <w:p w14:paraId="5793FBC8" w14:textId="77777777" w:rsidR="00C31C7D" w:rsidRDefault="00C31C7D" w:rsidP="00CD2B93">
      <w:r>
        <w:lastRenderedPageBreak/>
        <w:t xml:space="preserve">[Ref 4] </w:t>
      </w:r>
      <w:r w:rsidR="0026665E">
        <w:t>ITU-T Recommendation X.815 (11/1995) | ISO/IEC 10181-6:1996, Information technology – Open Systems Interconnection – Security frameworks for open systems: Integrity framework</w:t>
      </w:r>
    </w:p>
    <w:p w14:paraId="632F0B62" w14:textId="77777777" w:rsidR="00A20D12" w:rsidRDefault="00A20D12" w:rsidP="00A20D12">
      <w:r>
        <w:t>[Ref 5] Recommendation X.812 (11/1995) | ISO/IEC 10181-3:1996, Information technology – Open Systems Interconnection – Security Frameworks For Open Systems: Access Control Framework</w:t>
      </w:r>
    </w:p>
    <w:p w14:paraId="1ED4A5BD" w14:textId="77777777" w:rsidR="00104D9A" w:rsidRDefault="00104D9A" w:rsidP="00104D9A">
      <w:r>
        <w:t>[Ref 6]  CCITT Recommendation X.800 (1991), Security architecture for Open Systems Interconnection for</w:t>
      </w:r>
    </w:p>
    <w:p w14:paraId="5EE71628" w14:textId="77777777" w:rsidR="00104D9A" w:rsidRDefault="00104D9A" w:rsidP="00104D9A">
      <w:r>
        <w:t>CCITT applications.</w:t>
      </w:r>
    </w:p>
    <w:p w14:paraId="06F4BAD4" w14:textId="7579CEEE" w:rsidR="0065201F" w:rsidRPr="001E0567" w:rsidRDefault="0065201F" w:rsidP="00104D9A">
      <w:pPr>
        <w:rPr>
          <w:rStyle w:val="Hyperlink"/>
          <w:rFonts w:ascii="Verdana" w:hAnsi="Verdana"/>
        </w:rPr>
      </w:pPr>
      <w:r>
        <w:t xml:space="preserve">[Ref 7] </w:t>
      </w:r>
      <w:r>
        <w:rPr>
          <w:rFonts w:ascii="Verdana" w:hAnsi="Verdana"/>
          <w:color w:val="000000"/>
        </w:rPr>
        <w:t xml:space="preserve">ATIS-1000030.2008(S2018) - </w:t>
      </w:r>
      <w:hyperlink r:id="rId14" w:history="1">
        <w:r>
          <w:rPr>
            <w:rStyle w:val="Hyperlink"/>
            <w:rFonts w:ascii="Verdana" w:hAnsi="Verdana"/>
          </w:rPr>
          <w:t>Authentication and Authorization Requirements for Next Generation Network (NGN)</w:t>
        </w:r>
      </w:hyperlink>
    </w:p>
    <w:p w14:paraId="6C92C2C7" w14:textId="38AD4DF0" w:rsidR="00AC57B8" w:rsidRDefault="00AC57B8" w:rsidP="00AC57B8">
      <w:pPr>
        <w:rPr>
          <w:rStyle w:val="Hyperlink"/>
          <w:rFonts w:ascii="Verdana" w:hAnsi="Verdana"/>
        </w:rPr>
      </w:pPr>
      <w:r>
        <w:rPr>
          <w:rStyle w:val="Hyperlink"/>
          <w:rFonts w:ascii="Verdana" w:hAnsi="Verdana"/>
        </w:rPr>
        <w:t xml:space="preserve">[Ref 8] NIST SP 800-63-3 - </w:t>
      </w:r>
      <w:r w:rsidRPr="00AC57B8">
        <w:rPr>
          <w:rStyle w:val="Hyperlink"/>
          <w:rFonts w:ascii="Verdana" w:hAnsi="Verdana"/>
        </w:rPr>
        <w:t>NIST Special Publication 800-63-3</w:t>
      </w:r>
      <w:r>
        <w:rPr>
          <w:rStyle w:val="Hyperlink"/>
          <w:rFonts w:ascii="Verdana" w:hAnsi="Verdana"/>
        </w:rPr>
        <w:t xml:space="preserve"> </w:t>
      </w:r>
      <w:r w:rsidRPr="00AC57B8">
        <w:rPr>
          <w:rStyle w:val="Hyperlink"/>
          <w:rFonts w:ascii="Verdana" w:hAnsi="Verdana"/>
        </w:rPr>
        <w:t>Digital Identity Guidelines</w:t>
      </w:r>
    </w:p>
    <w:p w14:paraId="191CE939" w14:textId="06C98585" w:rsidR="00290338" w:rsidRDefault="00290338" w:rsidP="00584DD7">
      <w:r>
        <w:rPr>
          <w:rStyle w:val="Hyperlink"/>
          <w:rFonts w:ascii="Verdana" w:hAnsi="Verdana"/>
        </w:rPr>
        <w:t xml:space="preserve">[Ref 9] CA/Browser Forum </w:t>
      </w:r>
      <w:r w:rsidR="00584DD7" w:rsidRPr="00584DD7">
        <w:rPr>
          <w:rStyle w:val="Hyperlink"/>
          <w:rFonts w:ascii="Verdana" w:hAnsi="Verdana"/>
        </w:rPr>
        <w:t>Guidelines For The Issuance And Management Of</w:t>
      </w:r>
      <w:r w:rsidR="00584DD7">
        <w:rPr>
          <w:rStyle w:val="Hyperlink"/>
          <w:rFonts w:ascii="Verdana" w:hAnsi="Verdana"/>
        </w:rPr>
        <w:t xml:space="preserve"> </w:t>
      </w:r>
      <w:r w:rsidR="00584DD7" w:rsidRPr="00584DD7">
        <w:rPr>
          <w:rStyle w:val="Hyperlink"/>
          <w:rFonts w:ascii="Verdana" w:hAnsi="Verdana"/>
        </w:rPr>
        <w:t>Extended Validation Certificates</w:t>
      </w:r>
      <w:r w:rsidR="00584DD7">
        <w:rPr>
          <w:rStyle w:val="Hyperlink"/>
          <w:rFonts w:ascii="Verdana" w:hAnsi="Verdana"/>
        </w:rPr>
        <w:t xml:space="preserve"> Version 1.6.8</w:t>
      </w:r>
    </w:p>
    <w:p w14:paraId="6249D5D8" w14:textId="77777777" w:rsidR="00424AF1" w:rsidRDefault="00424AF1" w:rsidP="00652FD6">
      <w:pPr>
        <w:pStyle w:val="Heading1"/>
      </w:pPr>
      <w:r w:rsidRPr="00652FD6">
        <w:t>Definitions</w:t>
      </w:r>
      <w:r>
        <w:t>, Acronyms, &amp; Abbreviations</w:t>
      </w:r>
    </w:p>
    <w:p w14:paraId="459DAD17"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5" w:history="1">
        <w:r w:rsidRPr="0023263C">
          <w:rPr>
            <w:rStyle w:val="Hyperlink"/>
          </w:rPr>
          <w:t>http://www.atis.org/glossary</w:t>
        </w:r>
      </w:hyperlink>
      <w:r>
        <w:t xml:space="preserve"> &gt;.</w:t>
      </w:r>
    </w:p>
    <w:p w14:paraId="4D061B3B" w14:textId="77777777" w:rsidR="002B7015" w:rsidRDefault="002B7015" w:rsidP="00424AF1"/>
    <w:p w14:paraId="0723BE95" w14:textId="607CF96A" w:rsidR="00F25BAB" w:rsidRPr="00F25BAB" w:rsidRDefault="00424AF1" w:rsidP="00695AB1">
      <w:pPr>
        <w:pStyle w:val="Heading2"/>
      </w:pPr>
      <w:r w:rsidRPr="00652FD6">
        <w:t>Definitions</w:t>
      </w:r>
    </w:p>
    <w:p w14:paraId="35889DC9" w14:textId="2FDF6873"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section 5.2</w:t>
      </w:r>
    </w:p>
    <w:p w14:paraId="5519F006" w14:textId="073ECC28"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section 5.2</w:t>
      </w:r>
    </w:p>
    <w:p w14:paraId="5F1A055F" w14:textId="7EF92592"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r w:rsidR="00997E24">
        <w:t>X.811</w:t>
      </w:r>
      <w:r>
        <w:t xml:space="preserve">).  For the purposes of this report, an identity may or may not be a “TN-based </w:t>
      </w:r>
      <w:r w:rsidR="00F962A9">
        <w:t xml:space="preserve">caller </w:t>
      </w:r>
      <w:r>
        <w:t>identity” depending on the context.</w:t>
      </w:r>
    </w:p>
    <w:p w14:paraId="044CFCA2" w14:textId="37234BB9" w:rsidR="00695AB1" w:rsidRDefault="00695AB1" w:rsidP="00695AB1">
      <w:r w:rsidRPr="00394676">
        <w:rPr>
          <w:b/>
        </w:rPr>
        <w:t>Principal</w:t>
      </w:r>
      <w:r>
        <w:t xml:space="preserve">:  An entity whose identity can be authenticated </w:t>
      </w:r>
      <w:r w:rsidR="00997E24">
        <w:t>(X.811)</w:t>
      </w:r>
      <w:r>
        <w:t>.  For the purposes of this report the principal will typically be a service provider, customer, end user, or devices and systems under their control, depending on the context.</w:t>
      </w:r>
    </w:p>
    <w:p w14:paraId="188494A4" w14:textId="601CD172" w:rsidR="00695AB1" w:rsidRPr="00F25BAB" w:rsidRDefault="00695AB1" w:rsidP="00695AB1">
      <w:r w:rsidRPr="00394676">
        <w:rPr>
          <w:b/>
        </w:rPr>
        <w:t>Real-world identity</w:t>
      </w:r>
      <w: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t xml:space="preserve">  Compare to the use of “real-life identity” and “real-world identity” in </w:t>
      </w:r>
      <w:r w:rsidR="00997E24">
        <w:rPr>
          <w:rStyle w:val="Hyperlink"/>
          <w:rFonts w:ascii="Verdana" w:hAnsi="Verdana"/>
        </w:rPr>
        <w:t>NIST SP 800-63-3</w:t>
      </w:r>
      <w:r w:rsidR="00AC57B8">
        <w:t>.</w:t>
      </w:r>
    </w:p>
    <w:p w14:paraId="48D6A7AC" w14:textId="516B7D0F" w:rsidR="00821443" w:rsidRPr="00695AB1" w:rsidRDefault="00695AB1" w:rsidP="00695AB1">
      <w:pPr>
        <w:rPr>
          <w:i/>
          <w:sz w:val="28"/>
        </w:rPr>
      </w:pPr>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FFE670" w14:textId="77777777" w:rsidR="001F2162" w:rsidRDefault="001F2162" w:rsidP="00652FD6">
      <w:pPr>
        <w:pStyle w:val="Heading2"/>
      </w:pPr>
      <w:r>
        <w:t>Acronyms &amp; Abbreviations</w:t>
      </w:r>
    </w:p>
    <w:p w14:paraId="0C3859E4" w14:textId="77777777" w:rsidR="001F2162" w:rsidRDefault="001F2162" w:rsidP="001F2162"/>
    <w:tbl>
      <w:tblPr>
        <w:tblStyle w:val="TableGrid"/>
        <w:tblW w:w="0" w:type="auto"/>
        <w:tblLook w:val="04A0" w:firstRow="1" w:lastRow="0" w:firstColumn="1" w:lastColumn="0" w:noHBand="0" w:noVBand="1"/>
      </w:tblPr>
      <w:tblGrid>
        <w:gridCol w:w="1040"/>
        <w:gridCol w:w="17"/>
        <w:gridCol w:w="8293"/>
      </w:tblGrid>
      <w:tr w:rsidR="001F2162" w:rsidRPr="001F2162" w14:paraId="5748000E" w14:textId="77777777" w:rsidTr="00CD2B93">
        <w:tc>
          <w:tcPr>
            <w:tcW w:w="1040" w:type="dxa"/>
          </w:tcPr>
          <w:p w14:paraId="68DD3566" w14:textId="77777777" w:rsidR="001F2162" w:rsidRPr="001F2162" w:rsidRDefault="001F2162" w:rsidP="00F17692">
            <w:pPr>
              <w:rPr>
                <w:sz w:val="18"/>
                <w:szCs w:val="18"/>
              </w:rPr>
            </w:pPr>
            <w:r w:rsidRPr="001F2162">
              <w:rPr>
                <w:sz w:val="18"/>
                <w:szCs w:val="18"/>
              </w:rPr>
              <w:t>ATIS</w:t>
            </w:r>
          </w:p>
        </w:tc>
        <w:tc>
          <w:tcPr>
            <w:tcW w:w="8310" w:type="dxa"/>
            <w:gridSpan w:val="2"/>
          </w:tcPr>
          <w:p w14:paraId="09568564" w14:textId="77777777" w:rsidR="001F2162" w:rsidRPr="001F2162" w:rsidRDefault="001F2162" w:rsidP="00F17692">
            <w:pPr>
              <w:rPr>
                <w:sz w:val="18"/>
                <w:szCs w:val="18"/>
              </w:rPr>
            </w:pPr>
            <w:r w:rsidRPr="001F2162">
              <w:rPr>
                <w:sz w:val="18"/>
                <w:szCs w:val="18"/>
              </w:rPr>
              <w:t>Alliance for Telecommunications Industry Solutions</w:t>
            </w:r>
          </w:p>
        </w:tc>
      </w:tr>
      <w:tr w:rsidR="00CD2B93" w:rsidRPr="00920D17" w14:paraId="7C050D98" w14:textId="77777777" w:rsidTr="00CD2B93">
        <w:tc>
          <w:tcPr>
            <w:tcW w:w="1057" w:type="dxa"/>
            <w:gridSpan w:val="2"/>
          </w:tcPr>
          <w:p w14:paraId="0036F1CE" w14:textId="77777777" w:rsidR="00CD2B93" w:rsidRPr="00920D17" w:rsidRDefault="00CD2B93" w:rsidP="00A2015C">
            <w:r w:rsidRPr="00920D17">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CD2B93">
        <w:tc>
          <w:tcPr>
            <w:tcW w:w="1057" w:type="dxa"/>
            <w:gridSpan w:val="2"/>
          </w:tcPr>
          <w:p w14:paraId="68E77D92" w14:textId="77777777" w:rsidR="00CD2B93" w:rsidRPr="00920D17" w:rsidRDefault="00CD2B93" w:rsidP="00A2015C">
            <w:r w:rsidRPr="00920D17">
              <w:lastRenderedPageBreak/>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CD2B93">
        <w:tc>
          <w:tcPr>
            <w:tcW w:w="1057" w:type="dxa"/>
            <w:gridSpan w:val="2"/>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CD2B93">
        <w:tc>
          <w:tcPr>
            <w:tcW w:w="1057" w:type="dxa"/>
            <w:gridSpan w:val="2"/>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CD2B93">
        <w:tc>
          <w:tcPr>
            <w:tcW w:w="1057" w:type="dxa"/>
            <w:gridSpan w:val="2"/>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CD2B93">
        <w:tc>
          <w:tcPr>
            <w:tcW w:w="1057" w:type="dxa"/>
            <w:gridSpan w:val="2"/>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CD2B93">
        <w:tc>
          <w:tcPr>
            <w:tcW w:w="1057" w:type="dxa"/>
            <w:gridSpan w:val="2"/>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CD2B93">
        <w:tc>
          <w:tcPr>
            <w:tcW w:w="1057" w:type="dxa"/>
            <w:gridSpan w:val="2"/>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CD2B93">
        <w:tc>
          <w:tcPr>
            <w:tcW w:w="1057" w:type="dxa"/>
            <w:gridSpan w:val="2"/>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CD2B93">
        <w:tc>
          <w:tcPr>
            <w:tcW w:w="1057" w:type="dxa"/>
            <w:gridSpan w:val="2"/>
          </w:tcPr>
          <w:p w14:paraId="6059B33C" w14:textId="77777777" w:rsidR="00CD2B93" w:rsidRPr="00920D17" w:rsidRDefault="00CD2B93" w:rsidP="00A2015C">
            <w:r w:rsidRPr="00920D17">
              <w:t>STI-AS</w:t>
            </w:r>
          </w:p>
        </w:tc>
        <w:tc>
          <w:tcPr>
            <w:tcW w:w="8293" w:type="dxa"/>
          </w:tcPr>
          <w:p w14:paraId="6C3DE467" w14:textId="78C87CFF" w:rsidR="00CD2B93" w:rsidRPr="00920D17" w:rsidRDefault="00CD2B93" w:rsidP="00A2015C">
            <w:r w:rsidRPr="00920D17">
              <w:t>Secure Telephone Identity Authentication Service</w:t>
            </w:r>
          </w:p>
        </w:tc>
      </w:tr>
      <w:tr w:rsidR="00AF604D" w:rsidRPr="00920D17" w14:paraId="4538E8E1" w14:textId="77777777" w:rsidTr="00CD2B93">
        <w:tc>
          <w:tcPr>
            <w:tcW w:w="1057" w:type="dxa"/>
            <w:gridSpan w:val="2"/>
          </w:tcPr>
          <w:p w14:paraId="22104241" w14:textId="60CE22D5" w:rsidR="00AF604D" w:rsidRPr="00920D17" w:rsidRDefault="00AF604D" w:rsidP="00AF604D">
            <w:r>
              <w:t>STI-CA</w:t>
            </w:r>
          </w:p>
        </w:tc>
        <w:tc>
          <w:tcPr>
            <w:tcW w:w="8293" w:type="dxa"/>
          </w:tcPr>
          <w:p w14:paraId="64CA7009" w14:textId="30F95560" w:rsidR="00AF604D" w:rsidRPr="00920D17" w:rsidRDefault="00AF604D" w:rsidP="00AF604D">
            <w:r>
              <w:t>Secure Telephone Identity</w:t>
            </w:r>
            <w:r w:rsidRPr="00920D17">
              <w:t xml:space="preserve"> </w:t>
            </w:r>
            <w:r>
              <w:t>Certification Authority</w:t>
            </w:r>
          </w:p>
        </w:tc>
      </w:tr>
      <w:tr w:rsidR="00AF604D" w:rsidRPr="00920D17" w14:paraId="3DF1D83A" w14:textId="77777777" w:rsidTr="00CD2B93">
        <w:tc>
          <w:tcPr>
            <w:tcW w:w="1057" w:type="dxa"/>
            <w:gridSpan w:val="2"/>
          </w:tcPr>
          <w:p w14:paraId="75918B82" w14:textId="77777777" w:rsidR="00AF604D" w:rsidRPr="00920D17" w:rsidRDefault="00AF604D" w:rsidP="00AF604D">
            <w:r w:rsidRPr="00920D17">
              <w:t>STI-VS</w:t>
            </w:r>
          </w:p>
        </w:tc>
        <w:tc>
          <w:tcPr>
            <w:tcW w:w="8293" w:type="dxa"/>
          </w:tcPr>
          <w:p w14:paraId="6BA1EC44" w14:textId="3E70302F" w:rsidR="00AF604D" w:rsidRPr="00920D17" w:rsidRDefault="00AF604D" w:rsidP="00AF604D">
            <w:r w:rsidRPr="00920D17">
              <w:t>Secure Telephone Identity Verification Service</w:t>
            </w:r>
          </w:p>
        </w:tc>
      </w:tr>
      <w:tr w:rsidR="00AF604D" w:rsidRPr="00920D17" w14:paraId="1855689E" w14:textId="77777777" w:rsidTr="00CD2B93">
        <w:tc>
          <w:tcPr>
            <w:tcW w:w="1057" w:type="dxa"/>
            <w:gridSpan w:val="2"/>
          </w:tcPr>
          <w:p w14:paraId="12635BF9" w14:textId="1F9B4640" w:rsidR="00AF604D" w:rsidRPr="00920D17" w:rsidRDefault="00AF604D" w:rsidP="00AF604D">
            <w:r>
              <w:t>TLS</w:t>
            </w:r>
          </w:p>
        </w:tc>
        <w:tc>
          <w:tcPr>
            <w:tcW w:w="8293" w:type="dxa"/>
          </w:tcPr>
          <w:p w14:paraId="08CC152F" w14:textId="22E2B85A" w:rsidR="00AF604D" w:rsidRPr="00920D17" w:rsidRDefault="00AF604D" w:rsidP="00AF604D">
            <w:r>
              <w:t>Transport Layer Security</w:t>
            </w:r>
          </w:p>
        </w:tc>
      </w:tr>
      <w:tr w:rsidR="00AF604D" w:rsidRPr="00920D17" w14:paraId="10340E10" w14:textId="77777777" w:rsidTr="00CD2B93">
        <w:tc>
          <w:tcPr>
            <w:tcW w:w="1057" w:type="dxa"/>
            <w:gridSpan w:val="2"/>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CD2B93">
        <w:tc>
          <w:tcPr>
            <w:tcW w:w="1057" w:type="dxa"/>
            <w:gridSpan w:val="2"/>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CD2B93">
        <w:tc>
          <w:tcPr>
            <w:tcW w:w="1057" w:type="dxa"/>
            <w:gridSpan w:val="2"/>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CD2B93">
        <w:tc>
          <w:tcPr>
            <w:tcW w:w="1057" w:type="dxa"/>
            <w:gridSpan w:val="2"/>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CD2B93">
        <w:tc>
          <w:tcPr>
            <w:tcW w:w="1057" w:type="dxa"/>
            <w:gridSpan w:val="2"/>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652FD6">
      <w:pPr>
        <w:pStyle w:val="Heading1"/>
      </w:pPr>
      <w:r w:rsidRPr="00652FD6">
        <w:t>Architecture</w:t>
      </w:r>
      <w:r>
        <w:t xml:space="preserve"> </w:t>
      </w:r>
    </w:p>
    <w:p w14:paraId="62D7CB19" w14:textId="77777777" w:rsidR="00C45ED1" w:rsidRDefault="00C45ED1" w:rsidP="00652FD6">
      <w:pPr>
        <w:pStyle w:val="Heading2"/>
      </w:pPr>
      <w:r w:rsidRPr="00652FD6">
        <w:t>SHAKEN</w:t>
      </w:r>
      <w:r w:rsidRPr="00C45ED1">
        <w:t xml:space="preserve"> reference architecture</w:t>
      </w:r>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226310"/>
                    </a:xfrm>
                    <a:prstGeom prst="rect">
                      <a:avLst/>
                    </a:prstGeom>
                  </pic:spPr>
                </pic:pic>
              </a:graphicData>
            </a:graphic>
          </wp:inline>
        </w:drawing>
      </w:r>
    </w:p>
    <w:p w14:paraId="018C0CD1" w14:textId="77777777" w:rsidR="00C45ED1" w:rsidRPr="00C45ED1" w:rsidRDefault="00C45ED1" w:rsidP="00C45ED1">
      <w:pPr>
        <w:spacing w:before="120"/>
        <w:jc w:val="center"/>
        <w:rPr>
          <w:b/>
          <w:color w:val="000000"/>
        </w:rPr>
      </w:pPr>
      <w:r w:rsidRPr="00C45ED1">
        <w:rPr>
          <w:b/>
          <w:color w:val="000000"/>
        </w:rPr>
        <w:t xml:space="preserve">Figure </w:t>
      </w:r>
      <w:r w:rsidRPr="00C45ED1">
        <w:rPr>
          <w:b/>
          <w:color w:val="000000"/>
        </w:rPr>
        <w:fldChar w:fldCharType="begin"/>
      </w:r>
      <w:r w:rsidRPr="00C45ED1">
        <w:rPr>
          <w:b/>
          <w:color w:val="000000"/>
        </w:rPr>
        <w:instrText xml:space="preserve"> STYLEREF 1 \s </w:instrText>
      </w:r>
      <w:r w:rsidRPr="00C45ED1">
        <w:rPr>
          <w:b/>
          <w:color w:val="000000"/>
        </w:rPr>
        <w:fldChar w:fldCharType="separate"/>
      </w:r>
      <w:r w:rsidR="00A86E10">
        <w:rPr>
          <w:b/>
          <w:noProof/>
          <w:color w:val="000000"/>
        </w:rPr>
        <w:t>4</w:t>
      </w:r>
      <w:r w:rsidRPr="00C45ED1">
        <w:rPr>
          <w:b/>
          <w:noProof/>
          <w:color w:val="000000"/>
        </w:rPr>
        <w:fldChar w:fldCharType="end"/>
      </w:r>
      <w:r w:rsidRPr="00C45ED1">
        <w:rPr>
          <w:b/>
          <w:color w:val="000000"/>
        </w:rPr>
        <w:t>.</w:t>
      </w:r>
      <w:r w:rsidRPr="00C45ED1">
        <w:rPr>
          <w:b/>
          <w:color w:val="000000"/>
        </w:rPr>
        <w:fldChar w:fldCharType="begin"/>
      </w:r>
      <w:r w:rsidRPr="00C45ED1">
        <w:rPr>
          <w:b/>
          <w:color w:val="000000"/>
        </w:rPr>
        <w:instrText xml:space="preserve"> SEQ Figure \* ARABIC \s 1 </w:instrText>
      </w:r>
      <w:r w:rsidRPr="00C45ED1">
        <w:rPr>
          <w:b/>
          <w:color w:val="000000"/>
        </w:rPr>
        <w:fldChar w:fldCharType="separate"/>
      </w:r>
      <w:r w:rsidR="00A86E10">
        <w:rPr>
          <w:b/>
          <w:noProof/>
          <w:color w:val="000000"/>
        </w:rPr>
        <w:t>1</w:t>
      </w:r>
      <w:r w:rsidRPr="00C45ED1">
        <w:rPr>
          <w:b/>
          <w:noProof/>
          <w:color w:val="000000"/>
        </w:rPr>
        <w:fldChar w:fldCharType="end"/>
      </w:r>
      <w:r w:rsidRPr="00C45ED1">
        <w:rPr>
          <w:b/>
          <w:color w:val="000000"/>
        </w:rPr>
        <w:t xml:space="preserve"> – SHAKEN Reference Architecture</w:t>
      </w:r>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IBCF/TrGW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77777777" w:rsidR="007D506A" w:rsidRPr="007D506A" w:rsidRDefault="007D506A" w:rsidP="007D506A">
      <w:pPr>
        <w:numPr>
          <w:ilvl w:val="0"/>
          <w:numId w:val="30"/>
        </w:numPr>
        <w:contextualSpacing/>
      </w:pPr>
      <w:r w:rsidRPr="007D506A">
        <w:t>Authentication Service (STI-AS) - The SIP application server that performs the function of the authentication service defined in 4474bis.  It should either itself be highly secured and contain the Secure Key Store (SKS) of secret private key(s) or have an authenticated, Transport Layer Security (TLS)-encrypted interface to the SKS which stores the secret private key(s) used to create PASSporT signatures.</w:t>
      </w:r>
    </w:p>
    <w:p w14:paraId="4F3BE2EA" w14:textId="77777777" w:rsidR="007D506A" w:rsidRPr="007D506A" w:rsidRDefault="007D506A" w:rsidP="007D506A">
      <w:pPr>
        <w:numPr>
          <w:ilvl w:val="0"/>
          <w:numId w:val="30"/>
        </w:numPr>
        <w:contextualSpacing/>
      </w:pPr>
      <w:r w:rsidRPr="007D506A">
        <w:t>Verification Service (STI-VS) - The SIP application server that performs the function of the verification service defined in 4474bis.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77777777" w:rsidR="00FA6803" w:rsidRPr="007D506A" w:rsidRDefault="007D506A" w:rsidP="00FA6803">
      <w:pPr>
        <w:numPr>
          <w:ilvl w:val="0"/>
          <w:numId w:val="30"/>
        </w:numPr>
        <w:contextualSpacing/>
      </w:pPr>
      <w:r w:rsidRPr="007D506A">
        <w:t xml:space="preserve">Telephone Number Certificate Repository (TN-CR): This represents the publically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63BA96EA" w:rsidR="00525262" w:rsidRPr="00191BD0" w:rsidRDefault="00525262" w:rsidP="00934497">
      <w:pPr>
        <w:pStyle w:val="Heading1"/>
      </w:pPr>
      <w:r w:rsidRPr="00E02371">
        <w:t>SHAKEN</w:t>
      </w:r>
      <w:r>
        <w:t xml:space="preserve"> </w:t>
      </w:r>
      <w:r w:rsidR="0034083F">
        <w:t>s</w:t>
      </w:r>
      <w:r>
        <w:t xml:space="preserve">ecurity </w:t>
      </w:r>
      <w:r w:rsidR="0034083F">
        <w:t>s</w:t>
      </w:r>
      <w:r>
        <w:t>ervices</w:t>
      </w:r>
      <w:r w:rsidR="0034083F">
        <w:t xml:space="preserve"> and attestation</w:t>
      </w:r>
    </w:p>
    <w:p w14:paraId="5518E652" w14:textId="1FD928DE"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It is intended </w:t>
      </w:r>
      <w:r w:rsidRPr="00271A9E">
        <w:lastRenderedPageBreak/>
        <w:t xml:space="preserve">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4951A7">
        <w:t xml:space="preserve"> (the originating SP is the “principal” </w:t>
      </w:r>
      <w:r w:rsidR="000870BC">
        <w:t>as that term is defined in X.811 for</w:t>
      </w:r>
      <w:r w:rsidR="004951A7">
        <w:t xml:space="preserve"> the SHAKEN signing/verification transaction).  T</w:t>
      </w:r>
      <w:r w:rsidR="005E797A">
        <w:t>he certificate</w:t>
      </w:r>
      <w:r>
        <w:t xml:space="preserve"> can be validated against root </w:t>
      </w:r>
      <w:r w:rsidR="00164C33">
        <w:t>STI-</w:t>
      </w:r>
      <w:r>
        <w:t>CA certificates shared within a common governance and trust domain</w:t>
      </w:r>
      <w:r w:rsidR="00104D9A">
        <w:t xml:space="preserve"> </w:t>
      </w:r>
      <w:r w:rsidR="00997E24">
        <w:t xml:space="preserve">per </w:t>
      </w:r>
      <w:r w:rsidR="00997E24" w:rsidRPr="006704BA">
        <w:t>ATIS-1000080</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r w:rsidR="00997E24">
        <w:t>X.800</w:t>
      </w:r>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r w:rsidR="00DE7ED3">
        <w:t xml:space="preserve"> as described below</w:t>
      </w:r>
      <w:r w:rsidR="00A04FFD">
        <w:t>.</w:t>
      </w:r>
    </w:p>
    <w:p w14:paraId="3748B4A0" w14:textId="77777777" w:rsidR="007466AF" w:rsidRDefault="007466AF" w:rsidP="007466AF"/>
    <w:p w14:paraId="7B4639FC" w14:textId="77777777" w:rsidR="00191BD0" w:rsidRPr="00191BD0" w:rsidRDefault="00191BD0" w:rsidP="00652FD6">
      <w:pPr>
        <w:pStyle w:val="Heading2"/>
      </w:pPr>
      <w:r w:rsidRPr="00191BD0">
        <w:t>Attestation</w:t>
      </w:r>
      <w:r w:rsidRPr="00E02371">
        <w:t xml:space="preserve"> indicator</w:t>
      </w:r>
    </w:p>
    <w:p w14:paraId="502B6CE9" w14:textId="255991A4"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r w:rsidR="00997E24">
        <w:t>ATIS-1000074</w:t>
      </w:r>
      <w:r w:rsidR="003716CD">
        <w:t>, Section 5.2.3</w:t>
      </w:r>
      <w:r w:rsidR="0034083F">
        <w:t>)</w:t>
      </w:r>
      <w:r>
        <w:t>:</w:t>
      </w:r>
    </w:p>
    <w:p w14:paraId="2CFE03EF" w14:textId="77777777" w:rsidR="00FB1252" w:rsidRDefault="00FB1252" w:rsidP="004162CC"/>
    <w:p w14:paraId="27E9A0C6" w14:textId="77777777" w:rsidR="00D13D8F" w:rsidRDefault="00D13D8F" w:rsidP="00D13D8F">
      <w:pPr>
        <w:ind w:left="360"/>
        <w:rPr>
          <w:bCs/>
        </w:rPr>
      </w:pPr>
      <w:r>
        <w:rPr>
          <w:b/>
          <w:bCs/>
        </w:rPr>
        <w:t>A.</w:t>
      </w:r>
      <w:r w:rsidR="007327DA">
        <w:rPr>
          <w:bCs/>
        </w:rPr>
        <w:t xml:space="preserve"> </w:t>
      </w:r>
      <w:r>
        <w:rPr>
          <w:b/>
          <w:bCs/>
        </w:rPr>
        <w:t xml:space="preserve">Full Attestation: </w:t>
      </w:r>
      <w:r>
        <w:rPr>
          <w:bCs/>
        </w:rPr>
        <w:t>The signing provider shall satisfy all of the following conditions: </w:t>
      </w:r>
    </w:p>
    <w:p w14:paraId="48C98134" w14:textId="77777777" w:rsidR="00D13D8F" w:rsidRDefault="007327DA" w:rsidP="00D13D8F">
      <w:pPr>
        <w:pStyle w:val="ListParagraph"/>
        <w:numPr>
          <w:ilvl w:val="0"/>
          <w:numId w:val="33"/>
        </w:numPr>
        <w:spacing w:after="40"/>
        <w:ind w:left="1080"/>
        <w:rPr>
          <w:bCs/>
        </w:rPr>
      </w:pPr>
      <w:r>
        <w:rPr>
          <w:bCs/>
        </w:rPr>
        <w:t xml:space="preserve">Is </w:t>
      </w:r>
      <w:r w:rsidR="00D13D8F">
        <w:rPr>
          <w:bCs/>
        </w:rPr>
        <w:t xml:space="preserve">responsible for the origination of the call onto the </w:t>
      </w:r>
      <w:r w:rsidR="00D13D8F">
        <w:t>IP based service provider voice network.</w:t>
      </w:r>
    </w:p>
    <w:p w14:paraId="756E8759"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2C4B4AE8" w14:textId="77777777" w:rsidR="00D13D8F" w:rsidRPr="00CD2B93" w:rsidRDefault="00D13D8F" w:rsidP="00934497">
      <w:pPr>
        <w:pStyle w:val="ListParagraph"/>
        <w:numPr>
          <w:ilvl w:val="0"/>
          <w:numId w:val="33"/>
        </w:numPr>
        <w:spacing w:after="40"/>
        <w:ind w:left="1080"/>
        <w:rPr>
          <w:bCs/>
        </w:rPr>
      </w:pPr>
      <w:r>
        <w:rPr>
          <w:bCs/>
        </w:rPr>
        <w:t>Has established a verified association with the tele</w:t>
      </w:r>
      <w:r w:rsidR="007327DA">
        <w:rPr>
          <w:bCs/>
        </w:rPr>
        <w:t>phone number used for the call.</w:t>
      </w:r>
    </w:p>
    <w:p w14:paraId="5F857D92" w14:textId="77777777" w:rsidR="00D13D8F" w:rsidRDefault="00774AFB" w:rsidP="00D13D8F">
      <w:pPr>
        <w:rPr>
          <w:bCs/>
        </w:rPr>
      </w:pPr>
      <w:r>
        <w:rPr>
          <w:bCs/>
        </w:rPr>
        <w:t>…</w:t>
      </w:r>
    </w:p>
    <w:p w14:paraId="1F2F3B55" w14:textId="77777777" w:rsidR="00D13D8F" w:rsidRDefault="00D13D8F" w:rsidP="00D13D8F">
      <w:pPr>
        <w:ind w:left="360"/>
        <w:rPr>
          <w:bCs/>
        </w:rPr>
      </w:pPr>
      <w:r>
        <w:rPr>
          <w:b/>
          <w:bCs/>
        </w:rPr>
        <w:t xml:space="preserve">B. Partial Attestation: </w:t>
      </w:r>
      <w:r>
        <w:rPr>
          <w:bCs/>
        </w:rPr>
        <w:t>The signing provider shall satisfy all of the following conditions:</w:t>
      </w:r>
    </w:p>
    <w:p w14:paraId="7203F7EE" w14:textId="77777777" w:rsidR="00D13D8F" w:rsidRDefault="007327DA" w:rsidP="00D13D8F">
      <w:pPr>
        <w:pStyle w:val="ListParagraph"/>
        <w:numPr>
          <w:ilvl w:val="0"/>
          <w:numId w:val="33"/>
        </w:numPr>
        <w:spacing w:after="40"/>
        <w:ind w:left="1080"/>
        <w:rPr>
          <w:bCs/>
        </w:rPr>
      </w:pPr>
      <w:r>
        <w:rPr>
          <w:bCs/>
        </w:rPr>
        <w:t xml:space="preserve">Is </w:t>
      </w:r>
      <w:r w:rsidR="00D13D8F">
        <w:rPr>
          <w:bCs/>
        </w:rPr>
        <w:t>responsible for the origination of the call onto its IP-based voice network.</w:t>
      </w:r>
    </w:p>
    <w:p w14:paraId="1D4B4D50" w14:textId="77777777" w:rsidR="00D13D8F" w:rsidRDefault="00D13D8F" w:rsidP="00D13D8F">
      <w:pPr>
        <w:pStyle w:val="ListParagraph"/>
        <w:numPr>
          <w:ilvl w:val="0"/>
          <w:numId w:val="33"/>
        </w:numPr>
        <w:spacing w:after="40"/>
        <w:ind w:left="1080"/>
        <w:rPr>
          <w:bCs/>
        </w:rPr>
      </w:pPr>
      <w:r>
        <w:rPr>
          <w:bCs/>
        </w:rPr>
        <w:t>Has a direct authenticated relationship with the customer and can identify the customer.</w:t>
      </w:r>
    </w:p>
    <w:p w14:paraId="6CE1C69C" w14:textId="77777777" w:rsidR="00D13D8F" w:rsidRPr="00CD2B93" w:rsidRDefault="00D13D8F" w:rsidP="00934497">
      <w:pPr>
        <w:pStyle w:val="ListParagraph"/>
        <w:numPr>
          <w:ilvl w:val="0"/>
          <w:numId w:val="33"/>
        </w:numPr>
        <w:spacing w:after="40"/>
        <w:ind w:left="1080"/>
        <w:rPr>
          <w:bCs/>
        </w:rPr>
      </w:pPr>
      <w:r>
        <w:rPr>
          <w:bCs/>
        </w:rPr>
        <w:t>Has NOT established a verified association with the telephone number being used for the call.</w:t>
      </w:r>
    </w:p>
    <w:p w14:paraId="2C8D32A1" w14:textId="77777777" w:rsidR="00D13D8F" w:rsidRDefault="00774AFB" w:rsidP="00D13D8F">
      <w:pPr>
        <w:rPr>
          <w:bCs/>
        </w:rPr>
      </w:pPr>
      <w:r>
        <w:rPr>
          <w:bCs/>
        </w:rPr>
        <w:t>…</w:t>
      </w:r>
    </w:p>
    <w:p w14:paraId="3FDC09F4" w14:textId="77777777" w:rsidR="00D13D8F" w:rsidRDefault="00D13D8F" w:rsidP="00D13D8F">
      <w:pPr>
        <w:ind w:left="360"/>
        <w:rPr>
          <w:bCs/>
        </w:rPr>
      </w:pPr>
      <w:r>
        <w:rPr>
          <w:b/>
          <w:bCs/>
        </w:rPr>
        <w:t>C.</w:t>
      </w:r>
      <w:r w:rsidR="007327DA">
        <w:rPr>
          <w:bCs/>
        </w:rPr>
        <w:t xml:space="preserve"> </w:t>
      </w:r>
      <w:r>
        <w:rPr>
          <w:b/>
          <w:bCs/>
        </w:rPr>
        <w:t xml:space="preserve">Gateway Attestation: </w:t>
      </w:r>
      <w:r>
        <w:rPr>
          <w:bCs/>
        </w:rPr>
        <w:t>The signing provider shall satisfy all of the following conditions:</w:t>
      </w:r>
    </w:p>
    <w:p w14:paraId="7776A9B5" w14:textId="77777777" w:rsidR="00D13D8F" w:rsidRDefault="00D13D8F" w:rsidP="00D13D8F">
      <w:pPr>
        <w:pStyle w:val="ListParagraph"/>
        <w:numPr>
          <w:ilvl w:val="0"/>
          <w:numId w:val="33"/>
        </w:numPr>
        <w:spacing w:after="40"/>
        <w:ind w:left="1080"/>
        <w:rPr>
          <w:bCs/>
        </w:rPr>
      </w:pPr>
      <w:r>
        <w:rPr>
          <w:bCs/>
        </w:rPr>
        <w:t>Is the entry point of the call into its VoIP network.</w:t>
      </w:r>
    </w:p>
    <w:p w14:paraId="1E597D51" w14:textId="77777777" w:rsidR="007466AF" w:rsidRPr="00CD2B93" w:rsidRDefault="00D13D8F" w:rsidP="00934497">
      <w:pPr>
        <w:pStyle w:val="ListParagraph"/>
        <w:numPr>
          <w:ilvl w:val="0"/>
          <w:numId w:val="33"/>
        </w:numPr>
        <w:spacing w:after="40"/>
        <w:ind w:left="1080"/>
        <w:rPr>
          <w:bCs/>
        </w:rPr>
      </w:pPr>
      <w:r>
        <w:rPr>
          <w:bCs/>
        </w:rPr>
        <w:t>Has no relationship with the initiator of the call</w:t>
      </w:r>
      <w:r w:rsidR="007327DA">
        <w:rPr>
          <w:bCs/>
        </w:rPr>
        <w:t xml:space="preserve"> (e.g., international gateways).</w:t>
      </w:r>
    </w:p>
    <w:p w14:paraId="6A2949F1" w14:textId="77777777" w:rsidR="00CD2B93" w:rsidRDefault="00CD2B93" w:rsidP="00FD4804"/>
    <w:p w14:paraId="4D068142" w14:textId="6F48D808" w:rsidR="00CA7D19" w:rsidRDefault="003D3F82" w:rsidP="00FD4804">
      <w:r>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w:t>
      </w:r>
      <w:r>
        <w:lastRenderedPageBreak/>
        <w:t xml:space="preserve">does not pass one or more of these should be passed with a reduced attestation level.  </w:t>
      </w:r>
      <w:r w:rsidRPr="00DA58C2">
        <w:t xml:space="preserve">Once the terminating SP’s “verification” function (STI-VS) has verified the integrity of the identity 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r>
        <w:t>UNI Model</w:t>
      </w:r>
    </w:p>
    <w:p w14:paraId="754826BB" w14:textId="78350955" w:rsidR="00FD4804" w:rsidRDefault="00FD4804" w:rsidP="00FD4804">
      <w:r w:rsidRPr="000978C7">
        <w:t xml:space="preserve">In the VoIP-based </w:t>
      </w:r>
      <w:r>
        <w:t>service provider</w:t>
      </w:r>
      <w:r w:rsidRPr="000978C7">
        <w:t xml:space="preserve"> network, calls are place to originating SPs and received from terminating SPs over a signaling and media path that constitutes a UNI.  </w:t>
      </w:r>
      <w:r w:rsidR="00080753">
        <w:t xml:space="preserve">The reference model (Section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r w:rsidR="00997E24">
        <w:rPr>
          <w:rFonts w:ascii="Verdana" w:hAnsi="Verdana"/>
          <w:color w:val="000000"/>
        </w:rPr>
        <w:t>ATIS-1000030</w:t>
      </w:r>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9F7FF6">
        <w:t>section 5.3</w:t>
      </w:r>
      <w:r w:rsidR="0099285F">
        <w:t>.</w:t>
      </w:r>
    </w:p>
    <w:p w14:paraId="26A252AD" w14:textId="77777777" w:rsidR="008D56EE" w:rsidRPr="000978C7" w:rsidRDefault="008D56EE" w:rsidP="00FD4804">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pt" o:ole="">
            <v:imagedata r:id="rId17" o:title=""/>
          </v:shape>
          <o:OLEObject Type="Embed" ProgID="PowerPoint.Show.12" ShapeID="_x0000_i1025" DrawAspect="Content" ObjectID="_1611983936" r:id="rId18"/>
        </w:object>
      </w:r>
    </w:p>
    <w:p w14:paraId="6C02C752" w14:textId="786B38DE" w:rsidR="00FD4804" w:rsidRDefault="00FD4804" w:rsidP="00FD4804">
      <w:r w:rsidRPr="000978C7">
        <w:t xml:space="preserve">Figure </w:t>
      </w:r>
      <w:r w:rsidR="0099285F">
        <w:t>5-</w:t>
      </w:r>
      <w:r w:rsidRPr="000978C7">
        <w:t>1: User-to-Network Interface in context of SHAKEN</w:t>
      </w:r>
    </w:p>
    <w:p w14:paraId="41A58A80" w14:textId="77777777" w:rsidR="00FD4804" w:rsidRPr="00FD4804" w:rsidRDefault="00FD4804" w:rsidP="00934497"/>
    <w:p w14:paraId="06BF3821" w14:textId="77777777" w:rsidR="007167F6" w:rsidRPr="007167F6" w:rsidRDefault="007167F6" w:rsidP="00934497"/>
    <w:p w14:paraId="70D9057B" w14:textId="77777777" w:rsidR="00DC60E5" w:rsidRPr="000978C7" w:rsidRDefault="00F032A2" w:rsidP="00DC60E5">
      <w:pPr>
        <w:pStyle w:val="Heading3"/>
      </w:pPr>
      <w:r>
        <w:t>Customer</w:t>
      </w:r>
      <w:r w:rsidR="00DC60E5" w:rsidRPr="000978C7">
        <w:t xml:space="preserve"> identity</w:t>
      </w:r>
    </w:p>
    <w:p w14:paraId="50B42210" w14:textId="217CF0B5"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r w:rsidR="00AF604D">
        <w:t>for</w:t>
      </w:r>
      <w:r w:rsidR="00164C33">
        <w:t xml:space="preserve"> UNI authentication and other security policy application </w:t>
      </w:r>
      <w:r w:rsidR="00C31C7D">
        <w:t xml:space="preserve">as that term is defined in </w:t>
      </w:r>
      <w:r w:rsidR="00164C33">
        <w:t>X.811</w:t>
      </w:r>
      <w:r w:rsidR="0026665E">
        <w:t>)</w:t>
      </w:r>
      <w:r w:rsidRPr="000978C7">
        <w:t xml:space="preserve">.  In </w:t>
      </w:r>
      <w:r w:rsidR="00164C33">
        <w:t>limited</w:t>
      </w:r>
      <w:r w:rsidR="00164C33" w:rsidRPr="000978C7">
        <w:t xml:space="preserve"> </w:t>
      </w:r>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53C69195"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(for example,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2BA12D20" w:rsidR="0058180B" w:rsidRPr="000978C7" w:rsidRDefault="0058180B" w:rsidP="00DC60E5">
      <w:r>
        <w:t xml:space="preserve">As noted in </w:t>
      </w:r>
      <w:r w:rsidR="00D254B9">
        <w:t xml:space="preserve">section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through the customer) </w:t>
      </w:r>
      <w:r w:rsidR="005F4DE6">
        <w:t>that the customer UNI is servicing a particular end user entity for TN authorization purposes.</w:t>
      </w:r>
    </w:p>
    <w:p w14:paraId="6E6C8C7D" w14:textId="6B8703FA" w:rsidR="00DC60E5" w:rsidRPr="000978C7" w:rsidRDefault="00DC60E5" w:rsidP="00DC60E5">
      <w:pPr>
        <w:pStyle w:val="Heading3"/>
      </w:pPr>
      <w:r w:rsidRPr="000978C7">
        <w:t>TN</w:t>
      </w:r>
      <w:r w:rsidR="003F2EA8">
        <w:t>-based</w:t>
      </w:r>
      <w:r w:rsidRPr="000978C7">
        <w:t xml:space="preserve"> </w:t>
      </w:r>
      <w:r w:rsidR="00F962A9">
        <w:t xml:space="preserve">caller </w:t>
      </w:r>
      <w:r w:rsidRPr="000978C7">
        <w:t>identity</w:t>
      </w:r>
    </w:p>
    <w:p w14:paraId="55568C39" w14:textId="35B0846F"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An origid claim</w:t>
      </w:r>
      <w:r w:rsidR="00036502">
        <w:t xml:space="preserve"> sent in the Identity header may or may not be associated with individual customers</w:t>
      </w:r>
      <w:r w:rsidR="00F962A9">
        <w:t xml:space="preserve"> (see discussion in Section 6, below)</w:t>
      </w:r>
      <w:r w:rsidR="00036502">
        <w:t>, but the parameter is also intended to be an opaque value not specifically conveying identity.</w:t>
      </w:r>
    </w:p>
    <w:p w14:paraId="744E4770" w14:textId="2EC6E335" w:rsidR="00DC60E5" w:rsidRPr="000978C7"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7A1780A1" w14:textId="77777777" w:rsidR="00DC60E5" w:rsidRPr="000978C7" w:rsidRDefault="00DC60E5" w:rsidP="00DC60E5">
      <w:pPr>
        <w:pStyle w:val="Heading3"/>
      </w:pPr>
      <w:r w:rsidRPr="000978C7">
        <w:t>User authentication</w:t>
      </w:r>
    </w:p>
    <w:p w14:paraId="72AEA4E2" w14:textId="10DCBB04" w:rsidR="00DC60E5" w:rsidRPr="000978C7"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w:t>
      </w:r>
      <w:r w:rsidR="00DB321F">
        <w:lastRenderedPageBreak/>
        <w:t xml:space="preserve">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30F870CE" w14:textId="77777777" w:rsidR="00DC60E5" w:rsidRPr="000978C7" w:rsidRDefault="00DC60E5" w:rsidP="00DC60E5">
      <w:pPr>
        <w:pStyle w:val="Heading3"/>
      </w:pPr>
      <w:r w:rsidRPr="000978C7">
        <w:t>TN authorization and screening</w:t>
      </w:r>
    </w:p>
    <w:p w14:paraId="460C6EAB" w14:textId="7EFF3F4C"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77777777" w:rsidR="00191BD0" w:rsidRPr="00191BD0" w:rsidRDefault="007560AB" w:rsidP="00934497">
      <w:pPr>
        <w:pStyle w:val="Heading2"/>
      </w:pPr>
      <w:r>
        <w:t xml:space="preserve">Identity header population and </w:t>
      </w:r>
      <w:r w:rsidR="00F032A2">
        <w:t>attestation for calls received at a network-to-network interface</w:t>
      </w:r>
    </w:p>
    <w:p w14:paraId="50A27F33" w14:textId="77777777" w:rsidR="000F7BE7" w:rsidRDefault="00A95C19" w:rsidP="00191BD0">
      <w:r>
        <w:t xml:space="preserve">Within </w:t>
      </w:r>
      <w:r w:rsidR="007F600B">
        <w:t>a</w:t>
      </w:r>
      <w:r>
        <w:t xml:space="preserve"> common governance and trust domain (e.g. U.S. service providers), the end goal of SHAKEN mechanism deployment is for all calls to be </w:t>
      </w:r>
      <w:r w:rsidR="004459F3">
        <w:t>marked</w:t>
      </w:r>
      <w:r w:rsidR="00EA5F39">
        <w:t xml:space="preserve"> with 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04F6AC76" w14:textId="77777777" w:rsidR="00B258F1" w:rsidRDefault="00B258F1" w:rsidP="00191BD0">
      <w:r>
        <w:object w:dxaOrig="9604" w:dyaOrig="5399" w14:anchorId="6416F3BC">
          <v:shape id="_x0000_i1026" type="#_x0000_t75" style="width:480.75pt;height:269.25pt" o:ole="">
            <v:imagedata r:id="rId19" o:title=""/>
          </v:shape>
          <o:OLEObject Type="Embed" ProgID="PowerPoint.Show.12" ShapeID="_x0000_i1026" DrawAspect="Content" ObjectID="_1611983937" r:id="rId20"/>
        </w:object>
      </w:r>
      <w:r w:rsidRPr="00B258F1">
        <w:t xml:space="preserve"> </w:t>
      </w:r>
      <w:r w:rsidRPr="000978C7">
        <w:t xml:space="preserve">Figure </w:t>
      </w:r>
      <w:r>
        <w:t>5-2</w:t>
      </w:r>
      <w:r w:rsidRPr="000978C7">
        <w:t xml:space="preserve">: </w:t>
      </w:r>
      <w:r>
        <w:t>Network</w:t>
      </w:r>
      <w:r w:rsidRPr="000978C7">
        <w:t>-to-Network Interface in context of SHAKEN</w:t>
      </w:r>
    </w:p>
    <w:p w14:paraId="0642D1AF" w14:textId="77777777" w:rsidR="000F7BE7" w:rsidRDefault="000F7BE7" w:rsidP="00191BD0"/>
    <w:p w14:paraId="4C72DD7F" w14:textId="77777777" w:rsidR="00191BD0" w:rsidRPr="00191BD0" w:rsidRDefault="00112607" w:rsidP="00191BD0">
      <w:r>
        <w:t xml:space="preserve">Another reason that a call might arrive at an NNI without an Identity header is that the NNI </w:t>
      </w:r>
      <w:r w:rsidR="000F7BE7">
        <w:t xml:space="preserve">uses a non-SIP protocol </w:t>
      </w:r>
      <w:r>
        <w:t xml:space="preserve">(e.g.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make it harder to determine at the verification 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r>
        <w:t>Guidelines</w:t>
      </w:r>
    </w:p>
    <w:p w14:paraId="40B40100" w14:textId="77777777" w:rsidR="00B87BBB" w:rsidRPr="00B87BBB" w:rsidRDefault="00FD084B" w:rsidP="00B87BBB">
      <w:pPr>
        <w:pStyle w:val="Heading3"/>
      </w:pPr>
      <w:r>
        <w:t>Full Attestation</w:t>
      </w:r>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lastRenderedPageBreak/>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r w:rsidR="00DD11CA">
        <w:t>orig</w:t>
      </w:r>
      <w:r w:rsidR="00E054F5">
        <w:t>”</w:t>
      </w:r>
      <w:r w:rsidR="00DD11CA">
        <w:t xml:space="preserve"> </w:t>
      </w:r>
      <w:r w:rsidR="00B440E0">
        <w:t xml:space="preserve">claim </w:t>
      </w:r>
      <w:r w:rsidR="00E054F5">
        <w:t>value</w:t>
      </w:r>
      <w:r w:rsidR="00DD11CA">
        <w:t xml:space="preserve"> of the SHAKEN PASSPorT </w:t>
      </w:r>
      <w:r w:rsidR="00B440E0">
        <w:t>token</w:t>
      </w:r>
      <w:r w:rsidR="00DD11CA">
        <w:t xml:space="preserve"> of the Identity header.</w:t>
      </w:r>
    </w:p>
    <w:p w14:paraId="694923A0" w14:textId="10F900D4"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90BB9">
        <w:t xml:space="preserve">for instance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5E89109" w14:textId="77777777" w:rsidR="00E076D9" w:rsidRDefault="00E076D9" w:rsidP="00FD084B">
      <w:r>
        <w:t xml:space="preserve"> </w:t>
      </w:r>
    </w:p>
    <w:p w14:paraId="3610CCEE" w14:textId="77777777" w:rsidR="00B87BBB" w:rsidRPr="00FD084B" w:rsidRDefault="00B87BBB" w:rsidP="00FD084B"/>
    <w:p w14:paraId="3D9284F4" w14:textId="77777777" w:rsidR="00FD084B" w:rsidRDefault="00FD084B" w:rsidP="00FD084B">
      <w:pPr>
        <w:pStyle w:val="Heading3"/>
      </w:pPr>
      <w:r>
        <w:t xml:space="preserve">Partial Attestation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1C9589CB" w14:textId="77777777" w:rsidR="00E054F5" w:rsidRDefault="00E054F5" w:rsidP="00DD11CA"/>
    <w:p w14:paraId="2FD3E8B8" w14:textId="77777777" w:rsidR="00FD084B" w:rsidRPr="00FD084B" w:rsidRDefault="00FD084B" w:rsidP="00FD084B"/>
    <w:p w14:paraId="0EB8A412" w14:textId="77777777" w:rsidR="00FD084B" w:rsidRPr="00FD084B" w:rsidRDefault="00FD084B" w:rsidP="00FD084B"/>
    <w:p w14:paraId="5C7B04F4" w14:textId="77777777" w:rsidR="006E6424" w:rsidRPr="006E6424" w:rsidRDefault="00FD084B" w:rsidP="006E6424">
      <w:pPr>
        <w:pStyle w:val="Heading3"/>
      </w:pPr>
      <w:r>
        <w:t>Gateway Attestation</w:t>
      </w:r>
    </w:p>
    <w:p w14:paraId="7679EA3E" w14:textId="77777777" w:rsidR="00A36081" w:rsidRDefault="006F7776" w:rsidP="00FD084B">
      <w:r>
        <w:t xml:space="preserve">An “originating SP” for the purposes of SHAKEN “authentication” processing s 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r>
        <w:t xml:space="preserve">Other </w:t>
      </w:r>
      <w:r w:rsidR="00FD084B">
        <w:t>Attestation</w:t>
      </w:r>
      <w:r>
        <w:t xml:space="preserve"> Values</w:t>
      </w:r>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652FD6">
      <w:pPr>
        <w:pStyle w:val="Heading1"/>
      </w:pPr>
      <w:r w:rsidRPr="00370D60">
        <w:t>Origination Identifier</w:t>
      </w:r>
    </w:p>
    <w:p w14:paraId="6E382631" w14:textId="77777777" w:rsidR="002853F3" w:rsidRDefault="002853F3" w:rsidP="002853F3">
      <w:r>
        <w:t>Per SHAKEN Framework, the unique origination identifier (“origid”) is defined as part of SHAKEN. This unique origination identifier should be a globally unique string corresponding to a UUID (RFC 4122).</w:t>
      </w:r>
    </w:p>
    <w:p w14:paraId="7B1E125E" w14:textId="77777777" w:rsidR="002853F3" w:rsidRDefault="002853F3" w:rsidP="002853F3">
      <w:r>
        <w:t>The purpose of the unique origination identifier is to assign an opaque identifier corresponding to the service provider-initiated calls themselves, customers, classes of devices, or other groupings that a service provider might want to use for determining things like reputation or trace back identification of customers or gateways.</w:t>
      </w:r>
    </w:p>
    <w:p w14:paraId="3876F642" w14:textId="326A5034" w:rsidR="006E32F1" w:rsidRDefault="006E32F1" w:rsidP="002853F3">
      <w:r w:rsidRPr="006E32F1">
        <w:t xml:space="preserve"> </w:t>
      </w:r>
    </w:p>
    <w:p w14:paraId="03208E05" w14:textId="77777777" w:rsidR="006E32F1" w:rsidRDefault="006E32F1" w:rsidP="00934497">
      <w:pPr>
        <w:pStyle w:val="Heading2"/>
      </w:pPr>
      <w:r>
        <w:t>Origid granularity</w:t>
      </w:r>
    </w:p>
    <w:p w14:paraId="606C5BF5" w14:textId="77777777" w:rsidR="00563CEF" w:rsidRDefault="00563CEF" w:rsidP="002853F3">
      <w:r>
        <w:t>As an opaque identifier, the origid claim does not convey any SP or customer information in and of itself barring the sharing of origid decoding lists among SPs (not currently envisioned).  It may be used in the originating SP network logging and call detail records to aid local traceback searches, and a terminating SP may include the value in traceback requests to help it determine a relationship between multiple calls from the same originating SP.  The origid may also be used to signal traffic that can be correlated by terminating SP analysis functions.</w:t>
      </w:r>
    </w:p>
    <w:p w14:paraId="12F50027" w14:textId="512B1ECB" w:rsidR="007B0C25" w:rsidRDefault="0065398D" w:rsidP="002853F3">
      <w:r>
        <w:t>The t</w:t>
      </w:r>
      <w:r w:rsidR="00F73574">
        <w:t xml:space="preserve">ext </w:t>
      </w:r>
      <w:r>
        <w:t>of</w:t>
      </w:r>
      <w:r w:rsidR="00F73574">
        <w:t xml:space="preserve"> the SHAKEN standard </w:t>
      </w:r>
      <w:r>
        <w:t>(</w:t>
      </w:r>
      <w:r w:rsidR="004951A7">
        <w:t>ATIS-1000074</w:t>
      </w:r>
      <w:r>
        <w:t xml:space="preserve"> 5.2.4) </w:t>
      </w:r>
      <w:r w:rsidR="00F73574">
        <w:t xml:space="preserve">implies that for calls where both the customer and its TN authorization have been determined (‘A’ attestation level), the calling TN will provide sufficient correlation to the customer/traffic source that an origid at the granularity of </w:t>
      </w:r>
      <w:r w:rsidR="00DD41B2">
        <w:t>a</w:t>
      </w:r>
      <w:r w:rsidR="00F73574">
        <w:t xml:space="preserve"> customer may not be needed.  The implication for the other levels of attestation, where </w:t>
      </w:r>
      <w:r w:rsidR="006F7776">
        <w:t>an explicit</w:t>
      </w:r>
      <w:r w:rsidR="00F73574">
        <w:t xml:space="preserve"> TN authorization </w:t>
      </w:r>
      <w:r w:rsidR="006F7776">
        <w:t xml:space="preserve">lookup has not been applied or </w:t>
      </w:r>
      <w:r w:rsidR="00F73574">
        <w:t xml:space="preserve">has not </w:t>
      </w:r>
      <w:r w:rsidR="006F7776">
        <w:t>determined that there is authorization</w:t>
      </w:r>
      <w:r w:rsidR="00F73574">
        <w:t xml:space="preserve">, then the origid should specifically be at the granularity of </w:t>
      </w:r>
      <w:r w:rsidR="001361EC">
        <w:t xml:space="preserve">a </w:t>
      </w:r>
      <w:r w:rsidR="00F73574">
        <w:t xml:space="preserve">customer or other identified traffic source (e.g. gateway peer or node).  </w:t>
      </w:r>
      <w:r w:rsidR="007B0C25">
        <w:t xml:space="preserve">Note that in practice the origid and its granularity may be determined by the </w:t>
      </w:r>
      <w:r w:rsidR="001361EC">
        <w:t xml:space="preserve">characteristics of a </w:t>
      </w:r>
      <w:r w:rsidR="007B0C25">
        <w:t>traffic source or point of origin in the SP network and not be dependent on a subsequently determined attestation value.</w:t>
      </w:r>
    </w:p>
    <w:p w14:paraId="5C13A3B2" w14:textId="77777777" w:rsidR="00DD41B2" w:rsidRDefault="002F3275" w:rsidP="002853F3">
      <w:r>
        <w:t>Over time, o</w:t>
      </w:r>
      <w:r w:rsidR="00774AFB">
        <w:t>rigid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77777777"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origid</w:t>
      </w:r>
      <w:r w:rsidR="007B0C25">
        <w:t>s</w:t>
      </w:r>
      <w:r w:rsidR="00DE6085">
        <w:t xml:space="preserve"> assigned at different levels of granularity (e.g., customer, peer, gateway, region)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origid.</w:t>
      </w:r>
    </w:p>
    <w:p w14:paraId="421E41A0" w14:textId="77777777" w:rsidR="0049391E" w:rsidRDefault="002853F3" w:rsidP="00652FD6">
      <w:pPr>
        <w:pStyle w:val="Heading2"/>
      </w:pPr>
      <w:r>
        <w:t>Guidelines</w:t>
      </w:r>
    </w:p>
    <w:p w14:paraId="1DC86B6C" w14:textId="77777777" w:rsidR="002853F3" w:rsidRDefault="00A2015C" w:rsidP="00934497">
      <w:pPr>
        <w:pStyle w:val="Heading3"/>
      </w:pPr>
      <w:r>
        <w:t xml:space="preserve">Origid for calls received </w:t>
      </w:r>
      <w:r w:rsidR="00C66D7D">
        <w:t>via</w:t>
      </w:r>
      <w:r>
        <w:t xml:space="preserve"> an NNI</w:t>
      </w:r>
    </w:p>
    <w:p w14:paraId="245FFE8D" w14:textId="77777777" w:rsidR="00922EB8" w:rsidRDefault="00922EB8" w:rsidP="002853F3">
      <w:r>
        <w:t>The following guideline applies for population of origid for calls received at an NNI:</w:t>
      </w:r>
    </w:p>
    <w:p w14:paraId="2CCDCEF9" w14:textId="11B51CBA" w:rsidR="00A2015C" w:rsidRDefault="00A2015C" w:rsidP="00485970">
      <w:pPr>
        <w:pStyle w:val="ListParagraph"/>
        <w:numPr>
          <w:ilvl w:val="0"/>
          <w:numId w:val="46"/>
        </w:numPr>
      </w:pPr>
      <w:r>
        <w:lastRenderedPageBreak/>
        <w:t>An SP populating an Identity header for calls received across an NNI should populate an origid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r>
        <w:t xml:space="preserve">Origid for calls received </w:t>
      </w:r>
      <w:r w:rsidR="00C66D7D">
        <w:t>via</w:t>
      </w:r>
      <w:r>
        <w:t xml:space="preserve"> a UNI</w:t>
      </w:r>
    </w:p>
    <w:p w14:paraId="669D04AB" w14:textId="5401C7B1" w:rsidR="00922EB8" w:rsidRDefault="00922EB8" w:rsidP="00732C85">
      <w:r>
        <w:t>The following guidelines apply for calls received at a UNI:</w:t>
      </w:r>
    </w:p>
    <w:p w14:paraId="3EDE396C" w14:textId="6D8CEAB4" w:rsidR="0049391E" w:rsidRDefault="00302682" w:rsidP="00485970">
      <w:pPr>
        <w:pStyle w:val="ListParagraph"/>
        <w:numPr>
          <w:ilvl w:val="0"/>
          <w:numId w:val="46"/>
        </w:numPr>
      </w:pPr>
      <w:r>
        <w:t>For customers or customer groups where a</w:t>
      </w:r>
      <w:r w:rsidR="00C66D7D">
        <w:t xml:space="preserve">n </w:t>
      </w:r>
      <w:r>
        <w:t xml:space="preserve">originating </w:t>
      </w:r>
      <w:r w:rsidR="00C66D7D">
        <w:t xml:space="preserve">SP </w:t>
      </w:r>
      <w:r>
        <w:t xml:space="preserve">directly </w:t>
      </w:r>
      <w:r w:rsidR="000A48B3">
        <w:t xml:space="preserve">assigns, populates, or otherwise exercises control over </w:t>
      </w:r>
      <w:r>
        <w:t xml:space="preserve">the calling TNs associated with calls received across the customers’ UNIs, the originating SP may populate the Identity header origid value at a granularity other than on </w:t>
      </w:r>
      <w:r w:rsidR="001361EC">
        <w:t>a per-customer or per-UNI basis, as may be useful traceback purposes within the SPs own network.</w:t>
      </w:r>
    </w:p>
    <w:p w14:paraId="42D86D11" w14:textId="55A73EA9" w:rsidR="000870BC" w:rsidRDefault="000870BC" w:rsidP="00911A8D">
      <w:pPr>
        <w:ind w:left="360"/>
      </w:pPr>
      <w:r>
        <w:t>Note:  SP “control” of calling TNs may be via policy</w:t>
      </w:r>
      <w:r w:rsidR="00922EB8">
        <w:t>/terms of use</w:t>
      </w:r>
      <w:r>
        <w:t xml:space="preserve">, administrative, or per-call authorization checks and </w:t>
      </w:r>
      <w:r w:rsidR="00922EB8">
        <w:t>is not limited to TNs directly assigned by the SP.</w:t>
      </w:r>
    </w:p>
    <w:p w14:paraId="6E4DA831" w14:textId="5214EF01" w:rsidR="00302682" w:rsidRDefault="00302682" w:rsidP="00485970">
      <w:pPr>
        <w:pStyle w:val="ListParagraph"/>
        <w:numPr>
          <w:ilvl w:val="0"/>
          <w:numId w:val="46"/>
        </w:numPr>
      </w:pPr>
      <w:r>
        <w:t xml:space="preserve">For customers or customer groups where an originating SP </w:t>
      </w:r>
      <w:r w:rsidR="00922EB8">
        <w:t xml:space="preserve">does not exercise control </w:t>
      </w:r>
      <w:r>
        <w:t>over the calling TN</w:t>
      </w:r>
      <w:r w:rsidR="00922EB8">
        <w:t>s</w:t>
      </w:r>
      <w:r>
        <w:t xml:space="preserve"> populated at the UNI, the originating SP should populate the Identity header origid value at a per-customer or per-UNI granularity.</w:t>
      </w:r>
    </w:p>
    <w:p w14:paraId="46BC9FE1" w14:textId="77777777" w:rsidR="00911A8D" w:rsidRDefault="00911A8D" w:rsidP="00485970">
      <w:pPr>
        <w:pStyle w:val="ListParagraph"/>
      </w:pPr>
    </w:p>
    <w:p w14:paraId="4D4E4511" w14:textId="3187150C" w:rsidR="00911A8D" w:rsidRDefault="00911A8D" w:rsidP="00485970">
      <w:pPr>
        <w:pStyle w:val="ListParagraph"/>
        <w:ind w:left="360"/>
      </w:pPr>
      <w:r>
        <w:t xml:space="preserve">Note:  </w:t>
      </w:r>
      <w:r w:rsidR="00E26F0B">
        <w:t>T</w:t>
      </w:r>
      <w:r>
        <w:t xml:space="preserve">he SP </w:t>
      </w:r>
      <w:r w:rsidR="00E26F0B">
        <w:t>may be expected to</w:t>
      </w:r>
      <w:r>
        <w:t xml:space="preserve"> mark a call with “B” attestation or lower if it does not exercise control over the population of c</w:t>
      </w:r>
      <w:r w:rsidR="00E26F0B">
        <w:t>alling TNs</w:t>
      </w:r>
      <w:r w:rsidR="000A48B3">
        <w:t xml:space="preserve"> on a given customer UNI</w:t>
      </w:r>
      <w:r w:rsidR="00E26F0B">
        <w:t>.</w:t>
      </w:r>
    </w:p>
    <w:p w14:paraId="00BDC13B" w14:textId="77777777" w:rsidR="00E26F0B" w:rsidRDefault="00E26F0B" w:rsidP="00485970">
      <w:pPr>
        <w:pStyle w:val="ListParagraph"/>
        <w:ind w:left="360"/>
      </w:pPr>
    </w:p>
    <w:p w14:paraId="343A5657" w14:textId="77777777" w:rsidR="00302682" w:rsidRDefault="00302682" w:rsidP="00485970">
      <w:pPr>
        <w:pStyle w:val="ListParagraph"/>
        <w:numPr>
          <w:ilvl w:val="0"/>
          <w:numId w:val="46"/>
        </w:numPr>
      </w:pPr>
      <w:r>
        <w:t xml:space="preserve">Where </w:t>
      </w:r>
      <w:r w:rsidR="00E8799F">
        <w:t>origid is populated at the granularity of a customer or UNI that may be associated with an individual person, such as for a residential or small business service, the origid used should be a persistent but not permanent value.  For example, the origid value may persist for the length of a SIP registration or a 24-hour period before being cycled.</w:t>
      </w:r>
    </w:p>
    <w:p w14:paraId="3D0F08DE" w14:textId="77777777" w:rsidR="000A638D" w:rsidRPr="000A638D" w:rsidRDefault="000A638D" w:rsidP="00652FD6">
      <w:pPr>
        <w:pStyle w:val="Heading1"/>
      </w:pPr>
      <w:r>
        <w:t>Conclusions</w:t>
      </w:r>
    </w:p>
    <w:p w14:paraId="19EBB58A" w14:textId="7E8C8212" w:rsidR="00CF64C5" w:rsidRDefault="00CF64C5" w:rsidP="00CF64C5">
      <w:r>
        <w:t xml:space="preserve">The SHAKEN standard protects information exchanged between an originating and terminating SP over one or more </w:t>
      </w:r>
      <w:r w:rsidR="00636C08">
        <w:t xml:space="preserve">direct or intermediate </w:t>
      </w:r>
      <w:r>
        <w:t xml:space="preserve">NNIs.  The </w:t>
      </w:r>
      <w:r w:rsidR="001546AA">
        <w:t xml:space="preserve">attestation claim encodes the originating SPs knowledge of the SPs customer or other SP traffic source.  The validity of these markings rely on security services and security administration procedures applied by the originating SP and in some cases the SP’s customer if the customer is not the same entity as the end user.  </w:t>
      </w:r>
      <w:r w:rsidR="00636C08">
        <w:t>The origid claim for each call should be populated at a granularity that both supports traffic source identification and traceback within the originating SPs network and to aid the terminating/verifying SP in correlating traffic from common sources when that correlation might be of use for analytical purposes</w:t>
      </w:r>
      <w:r>
        <w:t>.</w:t>
      </w:r>
      <w:r w:rsidR="00636C08">
        <w:t xml:space="preserve">  Best practices for the application of UNI security services in support of SHAKEN attestation are expected to evolve as the industry gains experience with the use of the SHAKEN framework.</w:t>
      </w:r>
    </w:p>
    <w:p w14:paraId="71421D99" w14:textId="77777777" w:rsidR="000C7B16" w:rsidRDefault="000C7B16" w:rsidP="001F2162">
      <w:pPr>
        <w:spacing w:before="0" w:after="0"/>
        <w:jc w:val="center"/>
      </w:pPr>
    </w:p>
    <w:p w14:paraId="134871A4" w14:textId="77777777" w:rsidR="00CF64C5" w:rsidRDefault="00CF64C5" w:rsidP="001F2162">
      <w:pPr>
        <w:spacing w:before="0" w:after="0"/>
        <w:jc w:val="center"/>
        <w:sectPr w:rsidR="00CF64C5" w:rsidSect="00F25BAB">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563D4D3E" w14:textId="77777777" w:rsidR="001F2162" w:rsidRPr="00F01C92" w:rsidRDefault="001F2162" w:rsidP="000C7B16">
      <w:pPr>
        <w:spacing w:before="0" w:after="0"/>
        <w:jc w:val="center"/>
        <w:rPr>
          <w:b/>
        </w:rPr>
      </w:pPr>
      <w:r w:rsidRPr="00F01C92">
        <w:rPr>
          <w:b/>
        </w:rPr>
        <w:lastRenderedPageBreak/>
        <w:t>Annex A</w:t>
      </w:r>
    </w:p>
    <w:p w14:paraId="08C93053" w14:textId="212C4551" w:rsidR="001F2162" w:rsidRDefault="001F2162" w:rsidP="001F2162">
      <w:pPr>
        <w:spacing w:before="0" w:after="0"/>
        <w:jc w:val="center"/>
      </w:pPr>
      <w:r>
        <w:t>(informative)</w:t>
      </w:r>
    </w:p>
    <w:p w14:paraId="294F89BD" w14:textId="77777777" w:rsidR="001F2162" w:rsidRDefault="001F2162" w:rsidP="001F2162">
      <w:pPr>
        <w:spacing w:before="0" w:after="0"/>
        <w:jc w:val="center"/>
      </w:pPr>
    </w:p>
    <w:p w14:paraId="3B5DF656" w14:textId="47A64D36" w:rsidR="00403199" w:rsidRDefault="00403199">
      <w:pPr>
        <w:pStyle w:val="Annex1"/>
      </w:pPr>
      <w:r w:rsidRPr="000978C7">
        <w:t>Use case examples for UNI Identity, Authentication, and Authorization in relation to SP use of SHAKEN</w:t>
      </w:r>
    </w:p>
    <w:p w14:paraId="5CC1B90C" w14:textId="77777777" w:rsidR="00525668" w:rsidRPr="00695124" w:rsidRDefault="00525668" w:rsidP="00A86E10"/>
    <w:p w14:paraId="1EC011A5" w14:textId="77777777"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00CF64C5">
        <w:t>, and some of the scenarios present challenges to the SP being able to apply one or more of the necessary security services to achieve a higher level of attestation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77777777" w:rsidR="00996A4F" w:rsidRPr="000978C7" w:rsidRDefault="00996A4F" w:rsidP="00A86E10">
      <w:pPr>
        <w:pStyle w:val="Annex3"/>
      </w:pPr>
      <w:r w:rsidRPr="000978C7">
        <w:t>Direct individual assignment</w:t>
      </w:r>
    </w:p>
    <w:p w14:paraId="0409853D" w14:textId="23197028"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 by postal address and credit checks) to assure payment after consumption of the service.  In many of these cases a TN-based identity can be used interchangeably with other forms of user identity.</w:t>
      </w:r>
    </w:p>
    <w:p w14:paraId="7C4929D5" w14:textId="77777777" w:rsidR="00996A4F" w:rsidRPr="000978C7" w:rsidRDefault="00996A4F" w:rsidP="00A86E10">
      <w:pPr>
        <w:pStyle w:val="Annex3"/>
      </w:pPr>
      <w:r w:rsidRPr="000978C7">
        <w:t>Prepaid account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6FEA9927" w:rsidR="00996A4F" w:rsidRPr="000978C7" w:rsidRDefault="00996A4F" w:rsidP="00996A4F">
      <w:r w:rsidRPr="000978C7">
        <w:t xml:space="preserve">An SP may directly assign or port TNs to an enterprise as they would for an individual account, and the TNs are used with the SPs service.  Enterprise customers may utilize multiple SPs to originate calls, and they may mark calls with a TN (such as a main business number) across all their providers regardless of which SP assigned the TN.  In such cases,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6D0D1A">
        <w:t xml:space="preserve"> 2.1.1) and to use that information to establish web server credentials. </w:t>
      </w:r>
      <w:r w:rsidR="00584DD7">
        <w:t xml:space="preserve"> </w:t>
      </w:r>
      <w:r w:rsidRPr="000978C7">
        <w:t xml:space="preserve">In some cases enterprise services may be offered on </w:t>
      </w:r>
      <w:r w:rsidRPr="000978C7">
        <w:lastRenderedPageBreak/>
        <w:t xml:space="preserve">a 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77777777" w:rsidR="00996A4F" w:rsidRPr="000978C7" w:rsidRDefault="00996A4F" w:rsidP="00A86E10">
      <w:pPr>
        <w:pStyle w:val="Annex3"/>
      </w:pPr>
      <w:r w:rsidRPr="000978C7">
        <w:t>Communications reseller</w:t>
      </w:r>
    </w:p>
    <w:p w14:paraId="35B516D1" w14:textId="7711E34D" w:rsidR="00996A4F" w:rsidRPr="000978C7" w:rsidRDefault="00996A4F" w:rsidP="00996A4F">
      <w:r w:rsidRPr="000978C7">
        <w:t>A communications reseller may interact with TN-based identities in various ways.  The reseller may receive direct TN assignments from an SP or port assigned numbers to a particular SP, 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77777777" w:rsidR="00996A4F" w:rsidRPr="000978C7" w:rsidRDefault="00996A4F" w:rsidP="00A86E10">
      <w:pPr>
        <w:pStyle w:val="Annex3"/>
      </w:pPr>
      <w:r w:rsidRPr="000978C7">
        <w:t>Value-added service provider (VASP)</w:t>
      </w:r>
    </w:p>
    <w:p w14:paraId="4DC2245C" w14:textId="4589C2A8"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for use of a particular VASP customer or for the 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77777777" w:rsidR="00996A4F" w:rsidRDefault="00996A4F" w:rsidP="00A86E10">
      <w:pPr>
        <w:pStyle w:val="Annex2"/>
      </w:pPr>
      <w:r>
        <w:t>User/customer authentication</w:t>
      </w:r>
    </w:p>
    <w:p w14:paraId="6E7BDE2A" w14:textId="77777777" w:rsidR="00996A4F" w:rsidRPr="000978C7" w:rsidRDefault="00996A4F" w:rsidP="00A86E10">
      <w:pPr>
        <w:pStyle w:val="Annex3"/>
      </w:pPr>
      <w:r w:rsidRPr="000978C7">
        <w:t>Device</w:t>
      </w:r>
    </w:p>
    <w:p w14:paraId="2106EA58" w14:textId="77777777"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77777777" w:rsidR="00996A4F" w:rsidRPr="000978C7" w:rsidRDefault="00996A4F" w:rsidP="00996A4F">
      <w:r w:rsidRPr="000978C7">
        <w:t xml:space="preserve">Devices and software that do not have permanent credential storage often use an account ID and credentials (passwords,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softswitch or SBC may authenticate at the transport layer (e.g.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address, the originating SP may rely on </w:t>
      </w:r>
      <w:r>
        <w:t>physical interface</w:t>
      </w:r>
      <w:r w:rsidRPr="000978C7">
        <w:t xml:space="preserve"> or IP address to authenticate the customer over </w:t>
      </w:r>
      <w:r w:rsidRPr="000978C7">
        <w:lastRenderedPageBreak/>
        <w:t>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77777777" w:rsidR="00072F52" w:rsidRDefault="00072F52" w:rsidP="00A86E10">
      <w:pPr>
        <w:pStyle w:val="Annex2"/>
      </w:pPr>
      <w:r>
        <w:t>Calling TN authorization and screening</w:t>
      </w:r>
    </w:p>
    <w:p w14:paraId="7D808A97" w14:textId="77777777" w:rsidR="00072F52" w:rsidRPr="000978C7" w:rsidRDefault="00072F52" w:rsidP="00A86E10">
      <w:pPr>
        <w:pStyle w:val="Annex3"/>
      </w:pPr>
      <w:r w:rsidRPr="000978C7">
        <w:t>SP marking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77777777" w:rsidR="00072F52" w:rsidRPr="000978C7" w:rsidRDefault="00072F52" w:rsidP="00A86E10">
      <w:pPr>
        <w:pStyle w:val="Annex3"/>
      </w:pPr>
      <w:r w:rsidRPr="000978C7">
        <w:t>Direct assignment</w:t>
      </w:r>
    </w:p>
    <w:p w14:paraId="26C8EEAE" w14:textId="77777777" w:rsidR="00072F52" w:rsidRPr="000978C7" w:rsidRDefault="00072F52" w:rsidP="00072F52">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05794515" w14:textId="77777777" w:rsidR="00072F52" w:rsidRPr="000978C7" w:rsidRDefault="00072F52" w:rsidP="00A86E10">
      <w:pPr>
        <w:pStyle w:val="Annex3"/>
      </w:pPr>
      <w:r w:rsidRPr="000978C7">
        <w:t>Contract relationship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77777777"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(an enterprise customer, reseller or value-added service provider) that the customer can present to other SPs it uses to originate calls.  The LOA will presumably contain the assigning SP identity, customer identity that can be verified by the receiving SP (company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77777777" w:rsidR="00072F52" w:rsidRPr="000978C7" w:rsidRDefault="00072F52" w:rsidP="00A86E10">
      <w:pPr>
        <w:pStyle w:val="Annex3"/>
      </w:pPr>
      <w:r w:rsidRPr="000978C7">
        <w:t>Independent authorization check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77777777" w:rsidR="00072F52" w:rsidRPr="000978C7" w:rsidRDefault="00072F52" w:rsidP="00A86E10">
      <w:pPr>
        <w:pStyle w:val="Annex3"/>
      </w:pPr>
      <w:r w:rsidRPr="000978C7">
        <w:t>Indirect authorization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77777777" w:rsidR="00072F52" w:rsidRPr="000978C7" w:rsidRDefault="00072F52" w:rsidP="00A86E10">
      <w:pPr>
        <w:pStyle w:val="Annex3"/>
      </w:pPr>
      <w:r>
        <w:t>No validation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w:t>
      </w:r>
      <w:r w:rsidRPr="000978C7">
        <w:lastRenderedPageBreak/>
        <w:t xml:space="preserve">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77777777" w:rsidR="00996A4F" w:rsidRPr="00996A4F" w:rsidRDefault="00E84A2A" w:rsidP="00A86E10">
      <w:pPr>
        <w:pStyle w:val="Annex2"/>
      </w:pPr>
      <w:r>
        <w:t>Example use case matrix</w:t>
      </w:r>
    </w:p>
    <w:p w14:paraId="6F450282" w14:textId="77777777" w:rsidR="00996A4F" w:rsidRDefault="00996A4F" w:rsidP="00403199"/>
    <w:p w14:paraId="457E2492" w14:textId="08A65F49" w:rsidR="00403199" w:rsidRPr="000978C7" w:rsidRDefault="00403199" w:rsidP="00403199">
      <w:pPr>
        <w:sectPr w:rsidR="00403199" w:rsidRPr="000978C7" w:rsidSect="001E0567">
          <w:headerReference w:type="first" r:id="rId25"/>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SHAKEN attestation result.  Below are some examples:</w:t>
      </w:r>
    </w:p>
    <w:p w14:paraId="134DCBE2" w14:textId="77777777" w:rsidR="00403199" w:rsidRPr="000978C7" w:rsidRDefault="00403199" w:rsidP="00403199"/>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273772">
        <w:tc>
          <w:tcPr>
            <w:tcW w:w="1705" w:type="dxa"/>
          </w:tcPr>
          <w:p w14:paraId="2A936496" w14:textId="77777777" w:rsidR="00403199" w:rsidRPr="00A070E6" w:rsidRDefault="00403199" w:rsidP="00273772">
            <w:pPr>
              <w:jc w:val="left"/>
              <w:rPr>
                <w:b/>
              </w:rPr>
            </w:pPr>
            <w:r w:rsidRPr="00A070E6">
              <w:rPr>
                <w:b/>
              </w:rPr>
              <w:t>End user</w:t>
            </w:r>
          </w:p>
        </w:tc>
        <w:tc>
          <w:tcPr>
            <w:tcW w:w="1350" w:type="dxa"/>
          </w:tcPr>
          <w:p w14:paraId="73868CE8" w14:textId="77777777" w:rsidR="00403199" w:rsidRPr="00A070E6" w:rsidRDefault="00403199" w:rsidP="00273772">
            <w:pPr>
              <w:jc w:val="left"/>
              <w:rPr>
                <w:b/>
              </w:rPr>
            </w:pPr>
            <w:r w:rsidRPr="00A070E6">
              <w:rPr>
                <w:b/>
              </w:rPr>
              <w:t>Customer</w:t>
            </w:r>
            <w:r w:rsidR="00BE61AF">
              <w:rPr>
                <w:b/>
              </w:rPr>
              <w:t>/ Inter-connecting entity</w:t>
            </w:r>
          </w:p>
        </w:tc>
        <w:tc>
          <w:tcPr>
            <w:tcW w:w="1260" w:type="dxa"/>
          </w:tcPr>
          <w:p w14:paraId="0BD885E3" w14:textId="77777777" w:rsidR="00403199" w:rsidRPr="00A070E6" w:rsidRDefault="00403199" w:rsidP="00273772">
            <w:pPr>
              <w:jc w:val="left"/>
              <w:rPr>
                <w:b/>
              </w:rPr>
            </w:pPr>
            <w:r w:rsidRPr="00A070E6">
              <w:rPr>
                <w:b/>
              </w:rPr>
              <w:t>TN assigned to</w:t>
            </w:r>
          </w:p>
        </w:tc>
        <w:tc>
          <w:tcPr>
            <w:tcW w:w="1350" w:type="dxa"/>
          </w:tcPr>
          <w:p w14:paraId="0C9514A2" w14:textId="77777777" w:rsidR="00403199" w:rsidRPr="00A070E6" w:rsidRDefault="00403199" w:rsidP="00273772">
            <w:pPr>
              <w:jc w:val="left"/>
              <w:rPr>
                <w:b/>
              </w:rPr>
            </w:pPr>
            <w:r w:rsidRPr="00A070E6">
              <w:rPr>
                <w:b/>
              </w:rPr>
              <w:t>TN assigned by</w:t>
            </w:r>
          </w:p>
        </w:tc>
        <w:tc>
          <w:tcPr>
            <w:tcW w:w="2520" w:type="dxa"/>
          </w:tcPr>
          <w:p w14:paraId="4E45430C" w14:textId="77777777" w:rsidR="00403199" w:rsidRPr="00A070E6" w:rsidRDefault="00403199" w:rsidP="00273772">
            <w:pPr>
              <w:jc w:val="left"/>
              <w:rPr>
                <w:b/>
              </w:rPr>
            </w:pPr>
            <w:r w:rsidRPr="00A070E6">
              <w:rPr>
                <w:b/>
              </w:rPr>
              <w:t>Identity established by</w:t>
            </w:r>
          </w:p>
        </w:tc>
        <w:tc>
          <w:tcPr>
            <w:tcW w:w="2250" w:type="dxa"/>
          </w:tcPr>
          <w:p w14:paraId="522A060A" w14:textId="77777777" w:rsidR="00403199" w:rsidRPr="00A070E6" w:rsidRDefault="00403199" w:rsidP="00273772">
            <w:pPr>
              <w:jc w:val="left"/>
              <w:rPr>
                <w:b/>
              </w:rPr>
            </w:pPr>
            <w:r w:rsidRPr="00A070E6">
              <w:rPr>
                <w:b/>
              </w:rPr>
              <w:t>Authentication type</w:t>
            </w:r>
          </w:p>
        </w:tc>
        <w:tc>
          <w:tcPr>
            <w:tcW w:w="2250" w:type="dxa"/>
          </w:tcPr>
          <w:p w14:paraId="31368FF1" w14:textId="77777777" w:rsidR="00403199" w:rsidRPr="00A070E6" w:rsidRDefault="00403199" w:rsidP="00273772">
            <w:pPr>
              <w:jc w:val="left"/>
              <w:rPr>
                <w:b/>
              </w:rPr>
            </w:pPr>
            <w:r w:rsidRPr="00A070E6">
              <w:rPr>
                <w:b/>
              </w:rPr>
              <w:t>Authorization established by</w:t>
            </w:r>
          </w:p>
        </w:tc>
        <w:tc>
          <w:tcPr>
            <w:tcW w:w="1440" w:type="dxa"/>
          </w:tcPr>
          <w:p w14:paraId="153CD005" w14:textId="77777777" w:rsidR="00403199" w:rsidRPr="00A070E6" w:rsidRDefault="00403199" w:rsidP="00273772">
            <w:pPr>
              <w:jc w:val="left"/>
              <w:rPr>
                <w:b/>
              </w:rPr>
            </w:pPr>
            <w:r w:rsidRPr="00A070E6">
              <w:rPr>
                <w:b/>
              </w:rPr>
              <w:t>Attestation result</w:t>
            </w:r>
          </w:p>
        </w:tc>
      </w:tr>
      <w:tr w:rsidR="00403199" w:rsidRPr="000978C7" w14:paraId="25E1F7B1" w14:textId="77777777" w:rsidTr="00273772">
        <w:tc>
          <w:tcPr>
            <w:tcW w:w="1705" w:type="dxa"/>
          </w:tcPr>
          <w:p w14:paraId="2F7ECFE1" w14:textId="77777777" w:rsidR="00403199" w:rsidRPr="000978C7" w:rsidRDefault="00403199" w:rsidP="00273772">
            <w:pPr>
              <w:jc w:val="left"/>
            </w:pPr>
            <w:r w:rsidRPr="000978C7">
              <w:t>Mobile subscriber</w:t>
            </w:r>
          </w:p>
        </w:tc>
        <w:tc>
          <w:tcPr>
            <w:tcW w:w="1350" w:type="dxa"/>
          </w:tcPr>
          <w:p w14:paraId="2EF9A82E" w14:textId="77777777" w:rsidR="00403199" w:rsidRPr="000978C7" w:rsidRDefault="00403199" w:rsidP="00273772">
            <w:pPr>
              <w:jc w:val="left"/>
            </w:pPr>
            <w:r w:rsidRPr="000978C7">
              <w:t>Same as end user</w:t>
            </w:r>
          </w:p>
        </w:tc>
        <w:tc>
          <w:tcPr>
            <w:tcW w:w="1260" w:type="dxa"/>
          </w:tcPr>
          <w:p w14:paraId="3AB5C474" w14:textId="77777777" w:rsidR="00403199" w:rsidRPr="000978C7" w:rsidRDefault="00403199" w:rsidP="00273772">
            <w:pPr>
              <w:jc w:val="left"/>
            </w:pPr>
            <w:r w:rsidRPr="000978C7">
              <w:t>Subscriber</w:t>
            </w:r>
          </w:p>
        </w:tc>
        <w:tc>
          <w:tcPr>
            <w:tcW w:w="1350" w:type="dxa"/>
          </w:tcPr>
          <w:p w14:paraId="6A3E6483" w14:textId="77777777" w:rsidR="00403199" w:rsidRPr="000978C7" w:rsidRDefault="00403199" w:rsidP="00273772">
            <w:pPr>
              <w:jc w:val="left"/>
            </w:pPr>
            <w:r w:rsidRPr="000978C7">
              <w:t>Originating SP</w:t>
            </w:r>
          </w:p>
        </w:tc>
        <w:tc>
          <w:tcPr>
            <w:tcW w:w="2520" w:type="dxa"/>
          </w:tcPr>
          <w:p w14:paraId="76A2F5A4" w14:textId="77777777" w:rsidR="00403199" w:rsidRPr="000978C7" w:rsidRDefault="00403199" w:rsidP="00273772">
            <w:pPr>
              <w:jc w:val="left"/>
            </w:pPr>
            <w:r w:rsidRPr="000978C7">
              <w:t>Customer name/address/credit checks</w:t>
            </w:r>
          </w:p>
        </w:tc>
        <w:tc>
          <w:tcPr>
            <w:tcW w:w="2250" w:type="dxa"/>
          </w:tcPr>
          <w:p w14:paraId="64B67EAD" w14:textId="77777777" w:rsidR="00403199" w:rsidRPr="000978C7" w:rsidRDefault="00403199" w:rsidP="00273772">
            <w:pPr>
              <w:jc w:val="left"/>
            </w:pPr>
            <w:r w:rsidRPr="000978C7">
              <w:t>Device</w:t>
            </w:r>
          </w:p>
        </w:tc>
        <w:tc>
          <w:tcPr>
            <w:tcW w:w="2250" w:type="dxa"/>
          </w:tcPr>
          <w:p w14:paraId="4826947B" w14:textId="77777777" w:rsidR="00403199" w:rsidRPr="000978C7" w:rsidRDefault="00403199" w:rsidP="00273772">
            <w:pPr>
              <w:jc w:val="left"/>
            </w:pPr>
            <w:r w:rsidRPr="000978C7">
              <w:t>Direct assignment</w:t>
            </w:r>
          </w:p>
        </w:tc>
        <w:tc>
          <w:tcPr>
            <w:tcW w:w="1440" w:type="dxa"/>
          </w:tcPr>
          <w:p w14:paraId="0B1B002A" w14:textId="77777777" w:rsidR="00403199" w:rsidRPr="000978C7" w:rsidRDefault="00403199" w:rsidP="00273772">
            <w:pPr>
              <w:jc w:val="left"/>
            </w:pPr>
            <w:r w:rsidRPr="000978C7">
              <w:t>A</w:t>
            </w:r>
          </w:p>
        </w:tc>
      </w:tr>
      <w:tr w:rsidR="00403199" w:rsidRPr="000978C7" w14:paraId="0D1C0187" w14:textId="77777777" w:rsidTr="00273772">
        <w:tc>
          <w:tcPr>
            <w:tcW w:w="1705" w:type="dxa"/>
          </w:tcPr>
          <w:p w14:paraId="68E81020" w14:textId="77777777" w:rsidR="00403199" w:rsidRPr="000978C7" w:rsidRDefault="00403199" w:rsidP="00273772">
            <w:pPr>
              <w:jc w:val="left"/>
            </w:pPr>
            <w:r w:rsidRPr="000978C7">
              <w:t>Enterprise PBX</w:t>
            </w:r>
          </w:p>
        </w:tc>
        <w:tc>
          <w:tcPr>
            <w:tcW w:w="1350" w:type="dxa"/>
          </w:tcPr>
          <w:p w14:paraId="29BF78C3" w14:textId="77777777" w:rsidR="00403199" w:rsidRPr="000978C7" w:rsidRDefault="00403199" w:rsidP="00273772">
            <w:pPr>
              <w:jc w:val="left"/>
            </w:pPr>
            <w:r w:rsidRPr="000978C7">
              <w:t>Same as end user</w:t>
            </w:r>
          </w:p>
        </w:tc>
        <w:tc>
          <w:tcPr>
            <w:tcW w:w="1260" w:type="dxa"/>
          </w:tcPr>
          <w:p w14:paraId="3188A237" w14:textId="77777777" w:rsidR="00403199" w:rsidRPr="000978C7" w:rsidRDefault="00403199" w:rsidP="00273772">
            <w:pPr>
              <w:jc w:val="left"/>
            </w:pPr>
            <w:r w:rsidRPr="000978C7">
              <w:t>Enterprise customer</w:t>
            </w:r>
          </w:p>
        </w:tc>
        <w:tc>
          <w:tcPr>
            <w:tcW w:w="1350" w:type="dxa"/>
          </w:tcPr>
          <w:p w14:paraId="61C3D57F" w14:textId="77777777" w:rsidR="00403199" w:rsidRPr="000978C7" w:rsidRDefault="00403199" w:rsidP="00273772">
            <w:pPr>
              <w:jc w:val="left"/>
            </w:pPr>
            <w:r w:rsidRPr="000978C7">
              <w:t>Other SP</w:t>
            </w:r>
          </w:p>
        </w:tc>
        <w:tc>
          <w:tcPr>
            <w:tcW w:w="2520" w:type="dxa"/>
          </w:tcPr>
          <w:p w14:paraId="30E247D9" w14:textId="77777777" w:rsidR="00403199" w:rsidRPr="000978C7" w:rsidRDefault="00403199" w:rsidP="00273772">
            <w:pPr>
              <w:jc w:val="left"/>
            </w:pPr>
            <w:r w:rsidRPr="000978C7">
              <w:t>Customer name/address/credit checks</w:t>
            </w:r>
          </w:p>
        </w:tc>
        <w:tc>
          <w:tcPr>
            <w:tcW w:w="2250" w:type="dxa"/>
          </w:tcPr>
          <w:p w14:paraId="73EB1A15" w14:textId="77777777" w:rsidR="00403199" w:rsidRPr="000978C7" w:rsidRDefault="00403199" w:rsidP="00273772">
            <w:pPr>
              <w:jc w:val="left"/>
            </w:pPr>
            <w:r w:rsidRPr="000978C7">
              <w:t>Customer ID/pre-shared key, IP network ACL</w:t>
            </w:r>
          </w:p>
        </w:tc>
        <w:tc>
          <w:tcPr>
            <w:tcW w:w="2250" w:type="dxa"/>
          </w:tcPr>
          <w:p w14:paraId="1D54980F" w14:textId="77777777" w:rsidR="00403199" w:rsidRPr="000978C7" w:rsidRDefault="00403199" w:rsidP="00273772">
            <w:pPr>
              <w:jc w:val="left"/>
            </w:pPr>
            <w:r>
              <w:t>Letter of Authorization</w:t>
            </w:r>
          </w:p>
        </w:tc>
        <w:tc>
          <w:tcPr>
            <w:tcW w:w="1440" w:type="dxa"/>
          </w:tcPr>
          <w:p w14:paraId="515A37D0" w14:textId="77777777" w:rsidR="00403199" w:rsidRPr="000978C7" w:rsidRDefault="00403199" w:rsidP="00273772">
            <w:pPr>
              <w:jc w:val="left"/>
            </w:pPr>
            <w:r w:rsidRPr="000978C7">
              <w:t>A</w:t>
            </w:r>
          </w:p>
        </w:tc>
      </w:tr>
      <w:tr w:rsidR="00403199" w:rsidRPr="000978C7" w14:paraId="0F95AA1A" w14:textId="77777777" w:rsidTr="00273772">
        <w:tc>
          <w:tcPr>
            <w:tcW w:w="1705" w:type="dxa"/>
          </w:tcPr>
          <w:p w14:paraId="06735F27" w14:textId="77777777" w:rsidR="00403199" w:rsidRPr="000978C7" w:rsidRDefault="00403199" w:rsidP="00273772">
            <w:pPr>
              <w:jc w:val="left"/>
            </w:pPr>
            <w:r w:rsidRPr="000978C7">
              <w:t>Individual or enterprise</w:t>
            </w:r>
          </w:p>
        </w:tc>
        <w:tc>
          <w:tcPr>
            <w:tcW w:w="1350" w:type="dxa"/>
          </w:tcPr>
          <w:p w14:paraId="13161D1C" w14:textId="77777777" w:rsidR="00403199" w:rsidRPr="000978C7" w:rsidRDefault="00403199" w:rsidP="00273772">
            <w:pPr>
              <w:jc w:val="left"/>
            </w:pPr>
            <w:r w:rsidRPr="000978C7">
              <w:t>VASP</w:t>
            </w:r>
          </w:p>
        </w:tc>
        <w:tc>
          <w:tcPr>
            <w:tcW w:w="1260" w:type="dxa"/>
          </w:tcPr>
          <w:p w14:paraId="526768A7" w14:textId="77777777" w:rsidR="00403199" w:rsidRPr="000978C7" w:rsidRDefault="00403199" w:rsidP="00273772">
            <w:pPr>
              <w:jc w:val="left"/>
            </w:pPr>
            <w:r w:rsidRPr="000978C7">
              <w:t>VASP</w:t>
            </w:r>
          </w:p>
        </w:tc>
        <w:tc>
          <w:tcPr>
            <w:tcW w:w="1350" w:type="dxa"/>
          </w:tcPr>
          <w:p w14:paraId="6426B252" w14:textId="77777777" w:rsidR="00403199" w:rsidRPr="000978C7" w:rsidRDefault="00403199" w:rsidP="00273772">
            <w:pPr>
              <w:jc w:val="left"/>
            </w:pPr>
            <w:r w:rsidRPr="000978C7">
              <w:t>Originating SP</w:t>
            </w:r>
          </w:p>
        </w:tc>
        <w:tc>
          <w:tcPr>
            <w:tcW w:w="2520" w:type="dxa"/>
          </w:tcPr>
          <w:p w14:paraId="3B93E3F5" w14:textId="77777777" w:rsidR="00403199" w:rsidRPr="000978C7" w:rsidRDefault="00403199" w:rsidP="00273772">
            <w:pPr>
              <w:jc w:val="left"/>
            </w:pPr>
            <w:r w:rsidRPr="000978C7">
              <w:t xml:space="preserve">Customer name/address/credit checks, end-user traced </w:t>
            </w:r>
            <w:r>
              <w:t>through</w:t>
            </w:r>
            <w:r w:rsidRPr="000978C7">
              <w:t xml:space="preserve"> customer</w:t>
            </w:r>
          </w:p>
        </w:tc>
        <w:tc>
          <w:tcPr>
            <w:tcW w:w="2250" w:type="dxa"/>
          </w:tcPr>
          <w:p w14:paraId="339D049F" w14:textId="77777777" w:rsidR="00403199" w:rsidRPr="000978C7" w:rsidRDefault="00403199" w:rsidP="00273772">
            <w:pPr>
              <w:jc w:val="left"/>
            </w:pPr>
            <w:r w:rsidRPr="000978C7">
              <w:t>Customer ID/IP network ACL</w:t>
            </w:r>
          </w:p>
        </w:tc>
        <w:tc>
          <w:tcPr>
            <w:tcW w:w="2250" w:type="dxa"/>
          </w:tcPr>
          <w:p w14:paraId="29C720B4" w14:textId="77777777" w:rsidR="00403199" w:rsidRPr="000978C7" w:rsidRDefault="00403199" w:rsidP="00273772">
            <w:pPr>
              <w:jc w:val="left"/>
            </w:pPr>
            <w:r w:rsidRPr="000978C7">
              <w:t>Direct assignment, terms of use (customer responsible for end use)</w:t>
            </w:r>
          </w:p>
        </w:tc>
        <w:tc>
          <w:tcPr>
            <w:tcW w:w="1440" w:type="dxa"/>
          </w:tcPr>
          <w:p w14:paraId="573E642B" w14:textId="77777777" w:rsidR="00403199" w:rsidRPr="000978C7" w:rsidRDefault="00403199" w:rsidP="00273772">
            <w:pPr>
              <w:jc w:val="left"/>
            </w:pPr>
            <w:r w:rsidRPr="000978C7">
              <w:t>A</w:t>
            </w:r>
          </w:p>
        </w:tc>
      </w:tr>
      <w:tr w:rsidR="00403199" w:rsidRPr="000978C7" w14:paraId="076C5046" w14:textId="77777777" w:rsidTr="00273772">
        <w:tc>
          <w:tcPr>
            <w:tcW w:w="1705" w:type="dxa"/>
          </w:tcPr>
          <w:p w14:paraId="7BAB712C" w14:textId="77777777" w:rsidR="00403199" w:rsidRPr="000978C7" w:rsidRDefault="00403199" w:rsidP="00273772">
            <w:pPr>
              <w:jc w:val="left"/>
            </w:pPr>
            <w:r w:rsidRPr="000978C7">
              <w:t>Non-domestic entity</w:t>
            </w:r>
          </w:p>
        </w:tc>
        <w:tc>
          <w:tcPr>
            <w:tcW w:w="1350" w:type="dxa"/>
          </w:tcPr>
          <w:p w14:paraId="7B219AFE" w14:textId="77777777" w:rsidR="00403199" w:rsidRPr="000978C7" w:rsidRDefault="00403199" w:rsidP="00273772">
            <w:pPr>
              <w:jc w:val="left"/>
            </w:pPr>
            <w:r w:rsidRPr="000978C7">
              <w:t>Gateway provider</w:t>
            </w:r>
          </w:p>
        </w:tc>
        <w:tc>
          <w:tcPr>
            <w:tcW w:w="1260" w:type="dxa"/>
          </w:tcPr>
          <w:p w14:paraId="534405C6" w14:textId="77777777" w:rsidR="00403199" w:rsidRPr="000978C7" w:rsidRDefault="00403199" w:rsidP="00273772">
            <w:pPr>
              <w:jc w:val="left"/>
            </w:pPr>
            <w:r w:rsidRPr="000978C7">
              <w:t>End user</w:t>
            </w:r>
          </w:p>
        </w:tc>
        <w:tc>
          <w:tcPr>
            <w:tcW w:w="1350" w:type="dxa"/>
          </w:tcPr>
          <w:p w14:paraId="739E4E60" w14:textId="77777777" w:rsidR="00403199" w:rsidRPr="000978C7" w:rsidRDefault="00403199" w:rsidP="00273772">
            <w:pPr>
              <w:jc w:val="left"/>
            </w:pPr>
            <w:r w:rsidRPr="000978C7">
              <w:t>Non-domestic provider/not determined</w:t>
            </w:r>
          </w:p>
        </w:tc>
        <w:tc>
          <w:tcPr>
            <w:tcW w:w="2520" w:type="dxa"/>
          </w:tcPr>
          <w:p w14:paraId="1B31A3BA" w14:textId="77777777" w:rsidR="00403199" w:rsidRPr="000978C7" w:rsidRDefault="00403199" w:rsidP="00273772">
            <w:pPr>
              <w:jc w:val="left"/>
            </w:pPr>
            <w:r w:rsidRPr="000978C7">
              <w:t>Not determined (gateway provider not the originating SP)</w:t>
            </w:r>
          </w:p>
        </w:tc>
        <w:tc>
          <w:tcPr>
            <w:tcW w:w="2250" w:type="dxa"/>
          </w:tcPr>
          <w:p w14:paraId="5A62CAF2" w14:textId="77777777" w:rsidR="00403199" w:rsidRPr="000978C7" w:rsidRDefault="00403199" w:rsidP="00273772">
            <w:pPr>
              <w:jc w:val="left"/>
            </w:pPr>
            <w:r w:rsidRPr="000978C7">
              <w:t>Network interconnection</w:t>
            </w:r>
          </w:p>
        </w:tc>
        <w:tc>
          <w:tcPr>
            <w:tcW w:w="2250" w:type="dxa"/>
          </w:tcPr>
          <w:p w14:paraId="1B107E7B" w14:textId="77777777" w:rsidR="00403199" w:rsidRPr="000978C7" w:rsidRDefault="00403199" w:rsidP="00273772">
            <w:pPr>
              <w:jc w:val="left"/>
            </w:pPr>
            <w:r w:rsidRPr="000978C7">
              <w:t>Not determined</w:t>
            </w:r>
          </w:p>
        </w:tc>
        <w:tc>
          <w:tcPr>
            <w:tcW w:w="1440" w:type="dxa"/>
          </w:tcPr>
          <w:p w14:paraId="62D102FB" w14:textId="77777777" w:rsidR="00403199" w:rsidRPr="000978C7" w:rsidRDefault="00403199" w:rsidP="00273772">
            <w:pPr>
              <w:jc w:val="left"/>
            </w:pPr>
            <w:r w:rsidRPr="000978C7">
              <w:t>C</w:t>
            </w:r>
          </w:p>
        </w:tc>
      </w:tr>
      <w:tr w:rsidR="00403199" w:rsidRPr="000978C7" w14:paraId="0664BAA3" w14:textId="77777777" w:rsidTr="00273772">
        <w:tc>
          <w:tcPr>
            <w:tcW w:w="1705" w:type="dxa"/>
          </w:tcPr>
          <w:p w14:paraId="61502EEC" w14:textId="77777777" w:rsidR="00403199" w:rsidRPr="000978C7" w:rsidRDefault="00403199" w:rsidP="00273772">
            <w:pPr>
              <w:jc w:val="left"/>
            </w:pPr>
            <w:r w:rsidRPr="000978C7">
              <w:t>Individual or enterprise</w:t>
            </w:r>
          </w:p>
        </w:tc>
        <w:tc>
          <w:tcPr>
            <w:tcW w:w="1350" w:type="dxa"/>
          </w:tcPr>
          <w:p w14:paraId="5C24F4FD" w14:textId="77777777" w:rsidR="00403199" w:rsidRPr="000978C7" w:rsidRDefault="00403199" w:rsidP="00273772">
            <w:pPr>
              <w:jc w:val="left"/>
            </w:pPr>
            <w:r w:rsidRPr="000978C7">
              <w:t>Reseller</w:t>
            </w:r>
          </w:p>
        </w:tc>
        <w:tc>
          <w:tcPr>
            <w:tcW w:w="1260" w:type="dxa"/>
          </w:tcPr>
          <w:p w14:paraId="10D78546" w14:textId="77777777" w:rsidR="00403199" w:rsidRPr="000978C7" w:rsidRDefault="00403199" w:rsidP="00273772">
            <w:pPr>
              <w:jc w:val="left"/>
            </w:pPr>
            <w:r w:rsidRPr="000978C7">
              <w:t>End user</w:t>
            </w:r>
          </w:p>
        </w:tc>
        <w:tc>
          <w:tcPr>
            <w:tcW w:w="1350" w:type="dxa"/>
          </w:tcPr>
          <w:p w14:paraId="37208F78" w14:textId="77777777" w:rsidR="00403199" w:rsidRPr="000978C7" w:rsidRDefault="00403199" w:rsidP="00273772">
            <w:pPr>
              <w:jc w:val="left"/>
            </w:pPr>
            <w:r w:rsidRPr="000978C7">
              <w:t>Other SP</w:t>
            </w:r>
          </w:p>
        </w:tc>
        <w:tc>
          <w:tcPr>
            <w:tcW w:w="2520" w:type="dxa"/>
          </w:tcPr>
          <w:p w14:paraId="772CBB8B" w14:textId="77777777" w:rsidR="00403199" w:rsidRPr="000978C7" w:rsidRDefault="00403199" w:rsidP="00273772">
            <w:pPr>
              <w:jc w:val="left"/>
            </w:pPr>
            <w:r w:rsidRPr="000978C7">
              <w:t>Customer name/address/credit checks, end-user traced through customer</w:t>
            </w:r>
          </w:p>
        </w:tc>
        <w:tc>
          <w:tcPr>
            <w:tcW w:w="2250" w:type="dxa"/>
          </w:tcPr>
          <w:p w14:paraId="0A23B23E" w14:textId="77777777" w:rsidR="00403199" w:rsidRPr="000978C7" w:rsidRDefault="00403199" w:rsidP="00273772">
            <w:pPr>
              <w:jc w:val="left"/>
            </w:pPr>
            <w:r w:rsidRPr="000978C7">
              <w:t>Network interconnection</w:t>
            </w:r>
          </w:p>
        </w:tc>
        <w:tc>
          <w:tcPr>
            <w:tcW w:w="2250" w:type="dxa"/>
          </w:tcPr>
          <w:p w14:paraId="1679B9FC" w14:textId="77777777" w:rsidR="00403199" w:rsidRPr="000978C7" w:rsidRDefault="00403199" w:rsidP="00273772">
            <w:pPr>
              <w:jc w:val="left"/>
            </w:pPr>
            <w:r w:rsidRPr="000978C7">
              <w:t>Terms of use</w:t>
            </w:r>
          </w:p>
        </w:tc>
        <w:tc>
          <w:tcPr>
            <w:tcW w:w="1440" w:type="dxa"/>
          </w:tcPr>
          <w:p w14:paraId="56E0BAA2" w14:textId="77777777" w:rsidR="00403199" w:rsidRPr="000978C7" w:rsidRDefault="00403199" w:rsidP="00273772">
            <w:pPr>
              <w:jc w:val="left"/>
            </w:pPr>
            <w:r w:rsidRPr="000978C7">
              <w:t>A or B based on terms enforcement</w:t>
            </w:r>
          </w:p>
        </w:tc>
      </w:tr>
      <w:tr w:rsidR="00403199" w:rsidRPr="000978C7" w14:paraId="0BC6173D" w14:textId="77777777" w:rsidTr="00273772">
        <w:tc>
          <w:tcPr>
            <w:tcW w:w="1705" w:type="dxa"/>
          </w:tcPr>
          <w:p w14:paraId="6158B443" w14:textId="77777777" w:rsidR="00403199" w:rsidRPr="000978C7" w:rsidRDefault="00403199" w:rsidP="00273772">
            <w:pPr>
              <w:jc w:val="left"/>
            </w:pPr>
            <w:r w:rsidRPr="000978C7">
              <w:t>…</w:t>
            </w:r>
          </w:p>
        </w:tc>
        <w:tc>
          <w:tcPr>
            <w:tcW w:w="1350" w:type="dxa"/>
          </w:tcPr>
          <w:p w14:paraId="23085F42" w14:textId="77777777" w:rsidR="00403199" w:rsidRPr="000978C7" w:rsidRDefault="00403199" w:rsidP="00273772">
            <w:pPr>
              <w:jc w:val="left"/>
            </w:pPr>
          </w:p>
        </w:tc>
        <w:tc>
          <w:tcPr>
            <w:tcW w:w="1260" w:type="dxa"/>
          </w:tcPr>
          <w:p w14:paraId="133B368E" w14:textId="77777777" w:rsidR="00403199" w:rsidRPr="000978C7" w:rsidRDefault="00403199" w:rsidP="00273772">
            <w:pPr>
              <w:jc w:val="left"/>
            </w:pPr>
          </w:p>
        </w:tc>
        <w:tc>
          <w:tcPr>
            <w:tcW w:w="1350" w:type="dxa"/>
          </w:tcPr>
          <w:p w14:paraId="61A89550" w14:textId="77777777" w:rsidR="00403199" w:rsidRPr="000978C7" w:rsidRDefault="00403199" w:rsidP="00273772">
            <w:pPr>
              <w:jc w:val="left"/>
            </w:pPr>
          </w:p>
        </w:tc>
        <w:tc>
          <w:tcPr>
            <w:tcW w:w="2520" w:type="dxa"/>
          </w:tcPr>
          <w:p w14:paraId="1B7512F4" w14:textId="77777777" w:rsidR="00403199" w:rsidRPr="000978C7" w:rsidRDefault="00403199" w:rsidP="00273772">
            <w:pPr>
              <w:jc w:val="left"/>
            </w:pPr>
          </w:p>
        </w:tc>
        <w:tc>
          <w:tcPr>
            <w:tcW w:w="2250" w:type="dxa"/>
          </w:tcPr>
          <w:p w14:paraId="7564DBE6" w14:textId="77777777" w:rsidR="00403199" w:rsidRPr="000978C7" w:rsidRDefault="00403199" w:rsidP="00273772">
            <w:pPr>
              <w:jc w:val="left"/>
            </w:pPr>
          </w:p>
        </w:tc>
        <w:tc>
          <w:tcPr>
            <w:tcW w:w="2250" w:type="dxa"/>
          </w:tcPr>
          <w:p w14:paraId="39550EC6" w14:textId="77777777" w:rsidR="00403199" w:rsidRPr="000978C7" w:rsidRDefault="00403199" w:rsidP="00273772">
            <w:pPr>
              <w:jc w:val="left"/>
            </w:pPr>
          </w:p>
        </w:tc>
        <w:tc>
          <w:tcPr>
            <w:tcW w:w="1440" w:type="dxa"/>
          </w:tcPr>
          <w:p w14:paraId="0F24A477" w14:textId="77777777" w:rsidR="00403199" w:rsidRPr="000978C7" w:rsidRDefault="00403199" w:rsidP="00273772">
            <w:pPr>
              <w:jc w:val="left"/>
            </w:pPr>
          </w:p>
        </w:tc>
      </w:tr>
    </w:tbl>
    <w:p w14:paraId="497646DE" w14:textId="77777777" w:rsidR="00403199" w:rsidRDefault="00403199" w:rsidP="00403199">
      <w:pPr>
        <w:sectPr w:rsidR="00403199" w:rsidSect="00273772">
          <w:headerReference w:type="first" r:id="rId26"/>
          <w:footerReference w:type="first" r:id="rId27"/>
          <w:pgSz w:w="15840" w:h="12240" w:orient="landscape" w:code="1"/>
          <w:pgMar w:top="1080" w:right="1080" w:bottom="1080" w:left="1080" w:header="720" w:footer="720" w:gutter="0"/>
          <w:cols w:space="720"/>
          <w:titlePg/>
          <w:docGrid w:linePitch="360"/>
        </w:sectPr>
      </w:pPr>
    </w:p>
    <w:p w14:paraId="598985F8" w14:textId="6B3B5C84" w:rsidR="00D254B9" w:rsidRDefault="00D254B9" w:rsidP="004B443F"/>
    <w:p w14:paraId="42E3FC2F" w14:textId="77777777" w:rsidR="00D254B9" w:rsidRPr="00D254B9" w:rsidRDefault="00D254B9" w:rsidP="00D254B9"/>
    <w:p w14:paraId="5F591B0E" w14:textId="3F4E6D64" w:rsidR="00D254B9" w:rsidRDefault="00D254B9" w:rsidP="00D254B9"/>
    <w:p w14:paraId="3EC778C2" w14:textId="057085BE" w:rsidR="001F2162" w:rsidRPr="00D254B9" w:rsidRDefault="00D254B9" w:rsidP="001E0567">
      <w:pPr>
        <w:tabs>
          <w:tab w:val="left" w:pos="4440"/>
        </w:tabs>
      </w:pPr>
      <w:r>
        <w:tab/>
      </w:r>
    </w:p>
    <w:sectPr w:rsidR="001F2162" w:rsidRPr="00D254B9" w:rsidSect="001E0567">
      <w:headerReference w:type="even" r:id="rId28"/>
      <w:headerReference w:type="default" r:id="rId29"/>
      <w:headerReference w:type="first" r:id="rId30"/>
      <w:footerReference w:type="first" r:id="rId31"/>
      <w:pgSz w:w="12240" w:h="15840" w:code="1"/>
      <w:pgMar w:top="1080" w:right="1080" w:bottom="1080" w:left="1080" w:header="720" w:footer="720" w:gutter="0"/>
      <w:pgNumType w:start="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11ACA" w16cid:durableId="1F9D0EE4"/>
  <w16cid:commentId w16cid:paraId="7C210740" w16cid:durableId="1F9D0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6FE81" w14:textId="77777777" w:rsidR="00313478" w:rsidRDefault="00313478">
      <w:r>
        <w:separator/>
      </w:r>
    </w:p>
  </w:endnote>
  <w:endnote w:type="continuationSeparator" w:id="0">
    <w:p w14:paraId="43F2270B" w14:textId="77777777" w:rsidR="00313478" w:rsidRDefault="00313478">
      <w:r>
        <w:continuationSeparator/>
      </w:r>
    </w:p>
  </w:endnote>
  <w:endnote w:type="continuationNotice" w:id="1">
    <w:p w14:paraId="51198FB0" w14:textId="77777777" w:rsidR="00313478" w:rsidRDefault="003134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8D6B" w14:textId="77777777" w:rsidR="00FF54F2" w:rsidRDefault="00FF5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E565F4">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C33B" w14:textId="77777777" w:rsidR="00A2015C" w:rsidRDefault="00A2015C" w:rsidP="009D4970">
    <w:pPr>
      <w:pStyle w:val="Footer"/>
      <w:pBdr>
        <w:top w:val="single" w:sz="6" w:space="1" w:color="auto"/>
      </w:pBdr>
      <w:tabs>
        <w:tab w:val="right" w:pos="6390"/>
        <w:tab w:val="right" w:pos="9000"/>
      </w:tabs>
      <w:jc w:val="center"/>
      <w:rPr>
        <w:b/>
        <w:sz w:val="18"/>
      </w:rPr>
    </w:pPr>
    <w:r>
      <w:rPr>
        <w:b/>
        <w:sz w:val="18"/>
      </w:rPr>
      <w:t>NOTICE</w:t>
    </w:r>
  </w:p>
  <w:p w14:paraId="75F87F94" w14:textId="3BCF9CF5" w:rsidR="00A2015C" w:rsidRDefault="005F2812" w:rsidP="009D4970">
    <w:pPr>
      <w:pStyle w:val="Footer"/>
      <w:tabs>
        <w:tab w:val="right" w:pos="6390"/>
        <w:tab w:val="right" w:pos="9000"/>
      </w:tabs>
      <w:spacing w:after="60"/>
      <w:jc w:val="center"/>
      <w:rPr>
        <w:sz w:val="18"/>
      </w:rPr>
    </w:pPr>
    <w:r w:rsidRPr="005F2812">
      <w:rPr>
        <w:sz w:val="18"/>
      </w:rPr>
      <w:t xml:space="preserve">This </w:t>
    </w:r>
    <w:r w:rsidR="00FF54F2">
      <w:rPr>
        <w:sz w:val="18"/>
      </w:rPr>
      <w:t xml:space="preserve">is </w:t>
    </w:r>
    <w:r w:rsidR="00485970">
      <w:rPr>
        <w:sz w:val="18"/>
      </w:rPr>
      <w:t xml:space="preserve">clean baseline </w:t>
    </w:r>
    <w:bookmarkStart w:id="31" w:name="_GoBack"/>
    <w:bookmarkEnd w:id="31"/>
    <w:r w:rsidR="00485970">
      <w:rPr>
        <w:sz w:val="18"/>
      </w:rPr>
      <w:t>update to</w:t>
    </w:r>
    <w:r w:rsidR="00164C33">
      <w:rPr>
        <w:sz w:val="18"/>
      </w:rPr>
      <w:t xml:space="preserve"> IPNNI-2019-00003R001</w:t>
    </w:r>
    <w:r w:rsidR="00485970">
      <w:rPr>
        <w:sz w:val="18"/>
      </w:rPr>
      <w:t xml:space="preserve"> with changes accepted at the 1/22/2019 virtual meeting</w:t>
    </w:r>
    <w:r w:rsidR="00164C33">
      <w:rPr>
        <w:sz w:val="18"/>
      </w:rPr>
      <w:t>.</w:t>
    </w:r>
  </w:p>
  <w:p w14:paraId="5943461A" w14:textId="2B4ED9D6"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 CONTACTS:  </w:t>
    </w:r>
  </w:p>
  <w:p w14:paraId="04E53EAC" w14:textId="77777777" w:rsidR="00A2015C" w:rsidRDefault="00A2015C" w:rsidP="009D4970">
    <w:pPr>
      <w:pStyle w:val="Footer"/>
      <w:pBdr>
        <w:top w:val="single" w:sz="6" w:space="1" w:color="auto"/>
      </w:pBdr>
      <w:tabs>
        <w:tab w:val="right" w:pos="6390"/>
        <w:tab w:val="right" w:pos="9000"/>
      </w:tabs>
      <w:ind w:left="1170" w:hanging="1170"/>
      <w:rPr>
        <w:sz w:val="18"/>
      </w:rPr>
    </w:pPr>
    <w:r>
      <w:rPr>
        <w:sz w:val="18"/>
      </w:rPr>
      <w:t xml:space="preserve">Martin Dolly; email: </w:t>
    </w:r>
    <w:hyperlink r:id="rId1" w:history="1">
      <w:r w:rsidR="009278B7" w:rsidRPr="004561F7">
        <w:rPr>
          <w:rStyle w:val="Hyperlink"/>
          <w:sz w:val="18"/>
        </w:rPr>
        <w:t>mdolly@att.com</w:t>
      </w:r>
    </w:hyperlink>
    <w:r>
      <w:rPr>
        <w:sz w:val="18"/>
      </w:rPr>
      <w:t>;</w:t>
    </w:r>
  </w:p>
  <w:p w14:paraId="69A1FD30" w14:textId="77777777" w:rsidR="009278B7" w:rsidRDefault="009278B7" w:rsidP="009D4970">
    <w:pPr>
      <w:pStyle w:val="Footer"/>
      <w:pBdr>
        <w:top w:val="single" w:sz="6" w:space="1" w:color="auto"/>
      </w:pBdr>
      <w:tabs>
        <w:tab w:val="right" w:pos="6390"/>
        <w:tab w:val="right" w:pos="9000"/>
      </w:tabs>
      <w:ind w:left="1170" w:hanging="1170"/>
      <w:rPr>
        <w:sz w:val="18"/>
      </w:rPr>
    </w:pPr>
    <w:r>
      <w:rPr>
        <w:sz w:val="18"/>
      </w:rPr>
      <w:t>Doug Bellows; email: doug.bellows@inteliquent.com</w:t>
    </w:r>
  </w:p>
  <w:p w14:paraId="067AF6D4" w14:textId="77777777" w:rsidR="00A2015C" w:rsidRDefault="00A2015C" w:rsidP="009D4970">
    <w:pPr>
      <w:pStyle w:val="Footer"/>
      <w:pBdr>
        <w:top w:val="single" w:sz="6" w:space="1" w:color="auto"/>
      </w:pBdr>
      <w:tabs>
        <w:tab w:val="right" w:pos="6390"/>
        <w:tab w:val="right" w:pos="9000"/>
      </w:tabs>
      <w:ind w:left="1170" w:hanging="1170"/>
    </w:pPr>
  </w:p>
  <w:p w14:paraId="365BD512" w14:textId="77777777" w:rsidR="00A2015C" w:rsidRDefault="00A201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A2015C" w:rsidRDefault="00A2015C">
        <w:pPr>
          <w:pStyle w:val="Footer"/>
          <w:jc w:val="center"/>
        </w:pPr>
        <w:r>
          <w:fldChar w:fldCharType="begin"/>
        </w:r>
        <w:r>
          <w:instrText xml:space="preserve"> PAGE   \* MERGEFORMAT </w:instrText>
        </w:r>
        <w:r>
          <w:fldChar w:fldCharType="separate"/>
        </w:r>
        <w:r w:rsidR="00E565F4">
          <w:rPr>
            <w:noProof/>
          </w:rPr>
          <w:t>19</w:t>
        </w:r>
        <w:r>
          <w:rPr>
            <w:noProof/>
          </w:rPr>
          <w:fldChar w:fldCharType="end"/>
        </w:r>
      </w:p>
    </w:sdtContent>
  </w:sdt>
  <w:p w14:paraId="667FEC36" w14:textId="77777777" w:rsidR="00A2015C" w:rsidRDefault="00A201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981C1F" w:rsidRDefault="00981C1F" w:rsidP="009D4970">
    <w:pPr>
      <w:pStyle w:val="Footer"/>
      <w:pBdr>
        <w:top w:val="single" w:sz="6" w:space="1" w:color="auto"/>
      </w:pBdr>
      <w:tabs>
        <w:tab w:val="right" w:pos="6390"/>
        <w:tab w:val="right" w:pos="9000"/>
      </w:tabs>
      <w:ind w:left="1170" w:hanging="1170"/>
      <w:rPr>
        <w:sz w:val="18"/>
      </w:rPr>
    </w:pPr>
  </w:p>
  <w:p w14:paraId="101DCE14" w14:textId="77777777" w:rsidR="00981C1F" w:rsidRDefault="00981C1F" w:rsidP="009D4970">
    <w:pPr>
      <w:pStyle w:val="Footer"/>
      <w:pBdr>
        <w:top w:val="single" w:sz="6" w:space="1" w:color="auto"/>
      </w:pBdr>
      <w:tabs>
        <w:tab w:val="right" w:pos="6390"/>
        <w:tab w:val="right" w:pos="9000"/>
      </w:tabs>
      <w:ind w:left="1170" w:hanging="1170"/>
    </w:pPr>
  </w:p>
  <w:p w14:paraId="6277964D" w14:textId="77777777" w:rsidR="00981C1F" w:rsidRDefault="00981C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DE87"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E565F4">
      <w:rPr>
        <w:rStyle w:val="PageNumber"/>
        <w:noProof/>
      </w:rPr>
      <w:t>20</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A2015C" w:rsidRDefault="00A2015C">
    <w:pPr>
      <w:pStyle w:val="Footer"/>
      <w:jc w:val="center"/>
    </w:pPr>
    <w:r>
      <w:rPr>
        <w:rStyle w:val="PageNumber"/>
      </w:rPr>
      <w:fldChar w:fldCharType="begin"/>
    </w:r>
    <w:r>
      <w:rPr>
        <w:rStyle w:val="PageNumber"/>
      </w:rPr>
      <w:instrText xml:space="preserve"> PAGE </w:instrText>
    </w:r>
    <w:r>
      <w:rPr>
        <w:rStyle w:val="PageNumber"/>
      </w:rPr>
      <w:fldChar w:fldCharType="separate"/>
    </w:r>
    <w:r w:rsidR="00981C1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2EF2" w14:textId="77777777" w:rsidR="00313478" w:rsidRDefault="00313478">
      <w:r>
        <w:separator/>
      </w:r>
    </w:p>
  </w:footnote>
  <w:footnote w:type="continuationSeparator" w:id="0">
    <w:p w14:paraId="57B97E98" w14:textId="77777777" w:rsidR="00313478" w:rsidRDefault="00313478">
      <w:r>
        <w:continuationSeparator/>
      </w:r>
    </w:p>
  </w:footnote>
  <w:footnote w:type="continuationNotice" w:id="1">
    <w:p w14:paraId="15991BBC" w14:textId="77777777" w:rsidR="00313478" w:rsidRDefault="0031347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A2015C" w:rsidRDefault="00A2015C"/>
  <w:p w14:paraId="044C0055" w14:textId="77777777" w:rsidR="00A2015C" w:rsidRDefault="00A2015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A2015C" w:rsidRPr="00BC47C9" w:rsidRDefault="00A2015C">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A2015C" w:rsidRPr="00BC47C9" w:rsidRDefault="00A2015C">
    <w:pPr>
      <w:pStyle w:val="BANNER1"/>
      <w:spacing w:before="120"/>
      <w:rPr>
        <w:rFonts w:ascii="Arial" w:hAnsi="Arial" w:cs="Arial"/>
        <w:sz w:val="24"/>
      </w:rPr>
    </w:pPr>
    <w:r w:rsidRPr="00BC47C9">
      <w:rPr>
        <w:rFonts w:ascii="Arial" w:hAnsi="Arial" w:cs="Arial"/>
        <w:sz w:val="24"/>
      </w:rPr>
      <w:t>ATIS Standard on –</w:t>
    </w:r>
  </w:p>
  <w:p w14:paraId="5839C582" w14:textId="77777777" w:rsidR="00A2015C" w:rsidRPr="00BC47C9" w:rsidRDefault="00A2015C">
    <w:pPr>
      <w:pStyle w:val="BANNER1"/>
      <w:spacing w:before="120"/>
      <w:rPr>
        <w:rFonts w:ascii="Arial" w:hAnsi="Arial" w:cs="Arial"/>
        <w:sz w:val="24"/>
      </w:rPr>
    </w:pPr>
  </w:p>
  <w:p w14:paraId="3B5AF307" w14:textId="77777777" w:rsidR="00A2015C" w:rsidRPr="00BC47C9" w:rsidRDefault="00A2015C"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77777777" w:rsidR="00A2015C" w:rsidRPr="00D82162" w:rsidRDefault="00A2015C">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A2015C" w:rsidRDefault="00A2015C"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7777777" w:rsidR="005F2812" w:rsidRPr="00D82162" w:rsidRDefault="005F2812" w:rsidP="005F2812">
    <w:pPr>
      <w:pStyle w:val="Header"/>
      <w:jc w:val="center"/>
      <w:rPr>
        <w:rFonts w:cs="Arial"/>
        <w:b/>
        <w:bCs/>
      </w:rPr>
    </w:pPr>
    <w:r w:rsidRPr="00D82162">
      <w:rPr>
        <w:rFonts w:cs="Arial"/>
        <w:b/>
        <w:bCs/>
        <w:highlight w:val="yellow"/>
      </w:rPr>
      <w:t>ATIS-0x0000x</w:t>
    </w:r>
  </w:p>
  <w:p w14:paraId="20131FE2" w14:textId="0B07B7E5" w:rsidR="00A2015C" w:rsidRDefault="00A2015C"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77777777" w:rsidR="00F25BAB" w:rsidRPr="00BC47C9" w:rsidRDefault="00F25BAB"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B93DFA5" w14:textId="77777777" w:rsidR="00F25BAB" w:rsidRPr="00BC47C9" w:rsidRDefault="00F25BAB" w:rsidP="00F25BAB">
    <w:pPr>
      <w:pStyle w:val="BANNER1"/>
      <w:spacing w:before="120"/>
      <w:rPr>
        <w:rFonts w:ascii="Arial" w:hAnsi="Arial" w:cs="Arial"/>
        <w:sz w:val="24"/>
      </w:rPr>
    </w:pPr>
    <w:r w:rsidRPr="00BC47C9">
      <w:rPr>
        <w:rFonts w:ascii="Arial" w:hAnsi="Arial" w:cs="Arial"/>
        <w:sz w:val="24"/>
      </w:rPr>
      <w:t>ATIS Standard on –</w:t>
    </w:r>
  </w:p>
  <w:p w14:paraId="02F79AFB" w14:textId="77777777" w:rsidR="00F25BAB" w:rsidRPr="00BC47C9" w:rsidRDefault="00F25BAB" w:rsidP="00F25BAB">
    <w:pPr>
      <w:pStyle w:val="BANNER1"/>
      <w:spacing w:before="120"/>
      <w:rPr>
        <w:rFonts w:ascii="Arial" w:hAnsi="Arial" w:cs="Arial"/>
        <w:sz w:val="24"/>
      </w:rPr>
    </w:pPr>
  </w:p>
  <w:p w14:paraId="70014115" w14:textId="77777777" w:rsidR="00F25BAB" w:rsidRPr="00BC47C9" w:rsidRDefault="00F25BAB"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307C7152" w14:textId="5DE14FB2" w:rsidR="00A2015C" w:rsidRDefault="00A201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0C7B16" w:rsidRPr="00BC47C9" w:rsidRDefault="000C7B16"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0C7B16" w:rsidRPr="00BC47C9" w:rsidRDefault="000C7B16"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0C7B16" w:rsidRPr="00BC47C9" w:rsidRDefault="000C7B16" w:rsidP="00F25BAB">
    <w:pPr>
      <w:pStyle w:val="BANNER1"/>
      <w:spacing w:before="120"/>
      <w:rPr>
        <w:rFonts w:ascii="Arial" w:hAnsi="Arial" w:cs="Arial"/>
        <w:sz w:val="24"/>
      </w:rPr>
    </w:pPr>
  </w:p>
  <w:p w14:paraId="09CC3E82" w14:textId="77777777" w:rsidR="000C7B16" w:rsidRPr="00BC47C9" w:rsidRDefault="000C7B16"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0C7B16" w:rsidRDefault="000C7B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B755" w14:textId="77777777" w:rsidR="005F2812" w:rsidRPr="00D82162" w:rsidRDefault="005F2812" w:rsidP="005F2812">
    <w:pPr>
      <w:pStyle w:val="Header"/>
      <w:jc w:val="center"/>
      <w:rPr>
        <w:rFonts w:cs="Arial"/>
        <w:b/>
        <w:bCs/>
      </w:rPr>
    </w:pPr>
    <w:r w:rsidRPr="00D82162">
      <w:rPr>
        <w:rFonts w:cs="Arial"/>
        <w:b/>
        <w:bCs/>
        <w:highlight w:val="yellow"/>
      </w:rPr>
      <w:t>ATIS-0x0000x</w:t>
    </w:r>
  </w:p>
  <w:p w14:paraId="6F079D3E" w14:textId="27BB4711" w:rsidR="00A2015C" w:rsidRDefault="00A2015C" w:rsidP="0027377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A2015C" w:rsidRDefault="00A2015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7777777" w:rsidR="005F2812" w:rsidRPr="00D82162" w:rsidRDefault="005F2812" w:rsidP="005F2812">
    <w:pPr>
      <w:pStyle w:val="Header"/>
      <w:jc w:val="center"/>
      <w:rPr>
        <w:rFonts w:cs="Arial"/>
        <w:b/>
        <w:bCs/>
      </w:rPr>
    </w:pPr>
    <w:r w:rsidRPr="00D82162">
      <w:rPr>
        <w:rFonts w:cs="Arial"/>
        <w:b/>
        <w:bCs/>
        <w:highlight w:val="yellow"/>
      </w:rPr>
      <w:t>ATIS-0x0000x</w:t>
    </w:r>
  </w:p>
  <w:p w14:paraId="72992F3F" w14:textId="77777777" w:rsidR="00981C1F" w:rsidRPr="005F2812" w:rsidRDefault="00981C1F" w:rsidP="005F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6DE6AD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3"/>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A06"/>
    <w:rsid w:val="00026682"/>
    <w:rsid w:val="00026AEE"/>
    <w:rsid w:val="00036502"/>
    <w:rsid w:val="00037DB4"/>
    <w:rsid w:val="00043E63"/>
    <w:rsid w:val="0004517F"/>
    <w:rsid w:val="0005573C"/>
    <w:rsid w:val="00066558"/>
    <w:rsid w:val="00071070"/>
    <w:rsid w:val="00072F52"/>
    <w:rsid w:val="00076035"/>
    <w:rsid w:val="00080753"/>
    <w:rsid w:val="00084A9E"/>
    <w:rsid w:val="000870BC"/>
    <w:rsid w:val="000A48B3"/>
    <w:rsid w:val="000A638D"/>
    <w:rsid w:val="000B1D90"/>
    <w:rsid w:val="000B3538"/>
    <w:rsid w:val="000C2F7D"/>
    <w:rsid w:val="000C7B16"/>
    <w:rsid w:val="000D0B93"/>
    <w:rsid w:val="000D2C03"/>
    <w:rsid w:val="000D35AA"/>
    <w:rsid w:val="000D3768"/>
    <w:rsid w:val="000F67D5"/>
    <w:rsid w:val="000F7BE7"/>
    <w:rsid w:val="00104D9A"/>
    <w:rsid w:val="00110731"/>
    <w:rsid w:val="00112607"/>
    <w:rsid w:val="00116D20"/>
    <w:rsid w:val="001171D9"/>
    <w:rsid w:val="00127ABE"/>
    <w:rsid w:val="00131747"/>
    <w:rsid w:val="001361EC"/>
    <w:rsid w:val="00142453"/>
    <w:rsid w:val="001546AA"/>
    <w:rsid w:val="00164C33"/>
    <w:rsid w:val="0016685F"/>
    <w:rsid w:val="00173E5A"/>
    <w:rsid w:val="00176C2D"/>
    <w:rsid w:val="0018254B"/>
    <w:rsid w:val="00184C1E"/>
    <w:rsid w:val="001877DE"/>
    <w:rsid w:val="00190BB9"/>
    <w:rsid w:val="00191BD0"/>
    <w:rsid w:val="00197C50"/>
    <w:rsid w:val="001A3F9D"/>
    <w:rsid w:val="001A5B24"/>
    <w:rsid w:val="001B2C13"/>
    <w:rsid w:val="001D079E"/>
    <w:rsid w:val="001E0567"/>
    <w:rsid w:val="001E0B44"/>
    <w:rsid w:val="001E1497"/>
    <w:rsid w:val="001F0C91"/>
    <w:rsid w:val="001F2162"/>
    <w:rsid w:val="001F251E"/>
    <w:rsid w:val="002058F9"/>
    <w:rsid w:val="002104F7"/>
    <w:rsid w:val="00213BD1"/>
    <w:rsid w:val="002142D1"/>
    <w:rsid w:val="00215E14"/>
    <w:rsid w:val="0021710E"/>
    <w:rsid w:val="00224CBE"/>
    <w:rsid w:val="0023601A"/>
    <w:rsid w:val="0024206D"/>
    <w:rsid w:val="00243CA0"/>
    <w:rsid w:val="00244B47"/>
    <w:rsid w:val="00250758"/>
    <w:rsid w:val="00265EDE"/>
    <w:rsid w:val="0026665E"/>
    <w:rsid w:val="00266D04"/>
    <w:rsid w:val="00271A9E"/>
    <w:rsid w:val="00273772"/>
    <w:rsid w:val="0028457D"/>
    <w:rsid w:val="00284D20"/>
    <w:rsid w:val="002853F3"/>
    <w:rsid w:val="00290338"/>
    <w:rsid w:val="00291BEC"/>
    <w:rsid w:val="002A2720"/>
    <w:rsid w:val="002A3EE3"/>
    <w:rsid w:val="002A57C2"/>
    <w:rsid w:val="002A7CA2"/>
    <w:rsid w:val="002A7F58"/>
    <w:rsid w:val="002B2DF4"/>
    <w:rsid w:val="002B7015"/>
    <w:rsid w:val="002C18FF"/>
    <w:rsid w:val="002C1DEA"/>
    <w:rsid w:val="002C4900"/>
    <w:rsid w:val="002D0370"/>
    <w:rsid w:val="002D3888"/>
    <w:rsid w:val="002D388A"/>
    <w:rsid w:val="002F0989"/>
    <w:rsid w:val="002F3275"/>
    <w:rsid w:val="002F4AAA"/>
    <w:rsid w:val="00302682"/>
    <w:rsid w:val="003072BF"/>
    <w:rsid w:val="00313478"/>
    <w:rsid w:val="00313B3B"/>
    <w:rsid w:val="003144EE"/>
    <w:rsid w:val="00330B5A"/>
    <w:rsid w:val="00331DEF"/>
    <w:rsid w:val="003360AF"/>
    <w:rsid w:val="0034083F"/>
    <w:rsid w:val="00341A32"/>
    <w:rsid w:val="00362941"/>
    <w:rsid w:val="00362B6D"/>
    <w:rsid w:val="00363B8E"/>
    <w:rsid w:val="003656C8"/>
    <w:rsid w:val="00370D60"/>
    <w:rsid w:val="003716CD"/>
    <w:rsid w:val="00381E19"/>
    <w:rsid w:val="00384A02"/>
    <w:rsid w:val="00386EB3"/>
    <w:rsid w:val="00397B3D"/>
    <w:rsid w:val="003A0AB7"/>
    <w:rsid w:val="003A19B4"/>
    <w:rsid w:val="003A65E9"/>
    <w:rsid w:val="003B53CD"/>
    <w:rsid w:val="003C2633"/>
    <w:rsid w:val="003C501E"/>
    <w:rsid w:val="003D08D1"/>
    <w:rsid w:val="003D3428"/>
    <w:rsid w:val="003D3F82"/>
    <w:rsid w:val="003D540A"/>
    <w:rsid w:val="003E57B3"/>
    <w:rsid w:val="003F2EA8"/>
    <w:rsid w:val="00403199"/>
    <w:rsid w:val="00404ACA"/>
    <w:rsid w:val="00404C2E"/>
    <w:rsid w:val="00412166"/>
    <w:rsid w:val="004162CC"/>
    <w:rsid w:val="004243E0"/>
    <w:rsid w:val="00424AF1"/>
    <w:rsid w:val="0042512C"/>
    <w:rsid w:val="00427315"/>
    <w:rsid w:val="0043589F"/>
    <w:rsid w:val="00436597"/>
    <w:rsid w:val="004459F3"/>
    <w:rsid w:val="00446950"/>
    <w:rsid w:val="00454066"/>
    <w:rsid w:val="004557C0"/>
    <w:rsid w:val="004602D2"/>
    <w:rsid w:val="004677A8"/>
    <w:rsid w:val="00467D52"/>
    <w:rsid w:val="0047668D"/>
    <w:rsid w:val="00485970"/>
    <w:rsid w:val="00490CBB"/>
    <w:rsid w:val="00493144"/>
    <w:rsid w:val="0049391E"/>
    <w:rsid w:val="004951A7"/>
    <w:rsid w:val="004A7A52"/>
    <w:rsid w:val="004B443F"/>
    <w:rsid w:val="004B4A7C"/>
    <w:rsid w:val="004C284B"/>
    <w:rsid w:val="004D01C1"/>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63CEF"/>
    <w:rsid w:val="00572688"/>
    <w:rsid w:val="0058180B"/>
    <w:rsid w:val="00584DD7"/>
    <w:rsid w:val="00586E61"/>
    <w:rsid w:val="00590C1B"/>
    <w:rsid w:val="0059246C"/>
    <w:rsid w:val="005947CB"/>
    <w:rsid w:val="005A1AC4"/>
    <w:rsid w:val="005B49F0"/>
    <w:rsid w:val="005B557A"/>
    <w:rsid w:val="005C3384"/>
    <w:rsid w:val="005D0532"/>
    <w:rsid w:val="005D0930"/>
    <w:rsid w:val="005E0DD8"/>
    <w:rsid w:val="005E45A0"/>
    <w:rsid w:val="005E797A"/>
    <w:rsid w:val="005F2812"/>
    <w:rsid w:val="005F4DE6"/>
    <w:rsid w:val="006012B2"/>
    <w:rsid w:val="00611773"/>
    <w:rsid w:val="0062202A"/>
    <w:rsid w:val="006247A7"/>
    <w:rsid w:val="00636C08"/>
    <w:rsid w:val="0065201F"/>
    <w:rsid w:val="00652FD6"/>
    <w:rsid w:val="0065398D"/>
    <w:rsid w:val="00661160"/>
    <w:rsid w:val="00661E59"/>
    <w:rsid w:val="006646D3"/>
    <w:rsid w:val="006704BA"/>
    <w:rsid w:val="00674667"/>
    <w:rsid w:val="00686C71"/>
    <w:rsid w:val="00686EE6"/>
    <w:rsid w:val="0069203F"/>
    <w:rsid w:val="00695124"/>
    <w:rsid w:val="00695AB1"/>
    <w:rsid w:val="006B09F2"/>
    <w:rsid w:val="006D0D1A"/>
    <w:rsid w:val="006E32F1"/>
    <w:rsid w:val="006E5D84"/>
    <w:rsid w:val="006E6424"/>
    <w:rsid w:val="006F12CE"/>
    <w:rsid w:val="006F1778"/>
    <w:rsid w:val="006F2C18"/>
    <w:rsid w:val="006F340B"/>
    <w:rsid w:val="006F7776"/>
    <w:rsid w:val="006F7C3F"/>
    <w:rsid w:val="007006F5"/>
    <w:rsid w:val="007011C4"/>
    <w:rsid w:val="007167F6"/>
    <w:rsid w:val="007327DA"/>
    <w:rsid w:val="00732C85"/>
    <w:rsid w:val="00741979"/>
    <w:rsid w:val="007466AF"/>
    <w:rsid w:val="007560AB"/>
    <w:rsid w:val="0075616B"/>
    <w:rsid w:val="00774AFB"/>
    <w:rsid w:val="0078002E"/>
    <w:rsid w:val="007850BD"/>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73B78"/>
    <w:rsid w:val="00897771"/>
    <w:rsid w:val="008B2FE0"/>
    <w:rsid w:val="008B7C91"/>
    <w:rsid w:val="008C2D2C"/>
    <w:rsid w:val="008C3D70"/>
    <w:rsid w:val="008D5158"/>
    <w:rsid w:val="008D56EE"/>
    <w:rsid w:val="008E08AE"/>
    <w:rsid w:val="008F7F8B"/>
    <w:rsid w:val="00911A8D"/>
    <w:rsid w:val="00913E33"/>
    <w:rsid w:val="00913E56"/>
    <w:rsid w:val="00914E0C"/>
    <w:rsid w:val="00922EB8"/>
    <w:rsid w:val="009278B7"/>
    <w:rsid w:val="00930CEE"/>
    <w:rsid w:val="009332EA"/>
    <w:rsid w:val="00934497"/>
    <w:rsid w:val="0094160D"/>
    <w:rsid w:val="00967338"/>
    <w:rsid w:val="009804A4"/>
    <w:rsid w:val="00981C1F"/>
    <w:rsid w:val="009875DB"/>
    <w:rsid w:val="00987D79"/>
    <w:rsid w:val="0099216E"/>
    <w:rsid w:val="0099285F"/>
    <w:rsid w:val="00996A4F"/>
    <w:rsid w:val="00997E24"/>
    <w:rsid w:val="009A6EC3"/>
    <w:rsid w:val="009B08BF"/>
    <w:rsid w:val="009B1379"/>
    <w:rsid w:val="009B1DC1"/>
    <w:rsid w:val="009B31DB"/>
    <w:rsid w:val="009B6ED7"/>
    <w:rsid w:val="009C0FFA"/>
    <w:rsid w:val="009C535F"/>
    <w:rsid w:val="009D13D8"/>
    <w:rsid w:val="009D4970"/>
    <w:rsid w:val="009D7142"/>
    <w:rsid w:val="009D785E"/>
    <w:rsid w:val="009F7FF6"/>
    <w:rsid w:val="00A04FFD"/>
    <w:rsid w:val="00A2015C"/>
    <w:rsid w:val="00A20D12"/>
    <w:rsid w:val="00A2609E"/>
    <w:rsid w:val="00A36081"/>
    <w:rsid w:val="00A5077C"/>
    <w:rsid w:val="00A60D62"/>
    <w:rsid w:val="00A65FE9"/>
    <w:rsid w:val="00A77999"/>
    <w:rsid w:val="00A86E10"/>
    <w:rsid w:val="00A92490"/>
    <w:rsid w:val="00A94023"/>
    <w:rsid w:val="00A95C19"/>
    <w:rsid w:val="00AB4276"/>
    <w:rsid w:val="00AC57B8"/>
    <w:rsid w:val="00AD6167"/>
    <w:rsid w:val="00AF604D"/>
    <w:rsid w:val="00B0024F"/>
    <w:rsid w:val="00B01159"/>
    <w:rsid w:val="00B04AFF"/>
    <w:rsid w:val="00B141DC"/>
    <w:rsid w:val="00B258F1"/>
    <w:rsid w:val="00B31479"/>
    <w:rsid w:val="00B440E0"/>
    <w:rsid w:val="00B44B62"/>
    <w:rsid w:val="00B532D5"/>
    <w:rsid w:val="00B84F02"/>
    <w:rsid w:val="00B85ED5"/>
    <w:rsid w:val="00B86CCE"/>
    <w:rsid w:val="00B87BBB"/>
    <w:rsid w:val="00B9391F"/>
    <w:rsid w:val="00B959C8"/>
    <w:rsid w:val="00BA5D84"/>
    <w:rsid w:val="00BB2859"/>
    <w:rsid w:val="00BB539E"/>
    <w:rsid w:val="00BB5A82"/>
    <w:rsid w:val="00BC47C9"/>
    <w:rsid w:val="00BD02A8"/>
    <w:rsid w:val="00BE265D"/>
    <w:rsid w:val="00BE61AF"/>
    <w:rsid w:val="00C03924"/>
    <w:rsid w:val="00C06235"/>
    <w:rsid w:val="00C31C7D"/>
    <w:rsid w:val="00C4025E"/>
    <w:rsid w:val="00C44F39"/>
    <w:rsid w:val="00C45ED1"/>
    <w:rsid w:val="00C572B3"/>
    <w:rsid w:val="00C63E03"/>
    <w:rsid w:val="00C66D7D"/>
    <w:rsid w:val="00C73DC9"/>
    <w:rsid w:val="00C758C6"/>
    <w:rsid w:val="00C771EC"/>
    <w:rsid w:val="00CA7D19"/>
    <w:rsid w:val="00CB0374"/>
    <w:rsid w:val="00CB3FFF"/>
    <w:rsid w:val="00CB7460"/>
    <w:rsid w:val="00CC662C"/>
    <w:rsid w:val="00CD2B93"/>
    <w:rsid w:val="00CD4089"/>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915"/>
    <w:rsid w:val="00D747A4"/>
    <w:rsid w:val="00D82162"/>
    <w:rsid w:val="00D85521"/>
    <w:rsid w:val="00D8772E"/>
    <w:rsid w:val="00D972A9"/>
    <w:rsid w:val="00DA58C2"/>
    <w:rsid w:val="00DB321F"/>
    <w:rsid w:val="00DB4B20"/>
    <w:rsid w:val="00DC00D4"/>
    <w:rsid w:val="00DC60E5"/>
    <w:rsid w:val="00DD11CA"/>
    <w:rsid w:val="00DD41B2"/>
    <w:rsid w:val="00DE229A"/>
    <w:rsid w:val="00DE6085"/>
    <w:rsid w:val="00DE7ED3"/>
    <w:rsid w:val="00DF7897"/>
    <w:rsid w:val="00DF79ED"/>
    <w:rsid w:val="00E02371"/>
    <w:rsid w:val="00E054F5"/>
    <w:rsid w:val="00E076D9"/>
    <w:rsid w:val="00E220A8"/>
    <w:rsid w:val="00E26F0B"/>
    <w:rsid w:val="00E275C5"/>
    <w:rsid w:val="00E560A3"/>
    <w:rsid w:val="00E565F4"/>
    <w:rsid w:val="00E600FE"/>
    <w:rsid w:val="00E75F94"/>
    <w:rsid w:val="00E84A2A"/>
    <w:rsid w:val="00E8799F"/>
    <w:rsid w:val="00E87D90"/>
    <w:rsid w:val="00E96E29"/>
    <w:rsid w:val="00EA5F39"/>
    <w:rsid w:val="00EB273B"/>
    <w:rsid w:val="00ED143E"/>
    <w:rsid w:val="00ED4E07"/>
    <w:rsid w:val="00F032A2"/>
    <w:rsid w:val="00F1640B"/>
    <w:rsid w:val="00F17692"/>
    <w:rsid w:val="00F24A77"/>
    <w:rsid w:val="00F25BAB"/>
    <w:rsid w:val="00F511FA"/>
    <w:rsid w:val="00F73574"/>
    <w:rsid w:val="00F7522B"/>
    <w:rsid w:val="00F809B4"/>
    <w:rsid w:val="00F8431F"/>
    <w:rsid w:val="00F962A9"/>
    <w:rsid w:val="00FA3521"/>
    <w:rsid w:val="00FA3C6B"/>
    <w:rsid w:val="00FA6803"/>
    <w:rsid w:val="00FB1252"/>
    <w:rsid w:val="00FB3037"/>
    <w:rsid w:val="00FC4B0D"/>
    <w:rsid w:val="00FD0245"/>
    <w:rsid w:val="00FD084B"/>
    <w:rsid w:val="00FD4804"/>
    <w:rsid w:val="00FD6930"/>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4:docId w14:val="161EF13A"/>
  <w15:docId w15:val="{A9C7FC62-96E3-4381-9E17-0169D49B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F"/>
    <w:pPr>
      <w:spacing w:before="60" w:after="120"/>
      <w:jc w:val="both"/>
    </w:pPr>
    <w:rPr>
      <w:rFonts w:ascii="Arial" w:hAnsi="Arial"/>
    </w:rPr>
  </w:style>
  <w:style w:type="paragraph" w:styleId="Heading1">
    <w:name w:val="heading 1"/>
    <w:aliases w:val="H1"/>
    <w:basedOn w:val="Normal"/>
    <w:next w:val="Normal"/>
    <w:autoRedefine/>
    <w:qFormat/>
    <w:rsid w:val="00652FD6"/>
    <w:pPr>
      <w:keepNext/>
      <w:numPr>
        <w:numId w:val="40"/>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PowerPoint_Presentation1.pptx"/><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package" Target="embeddings/Microsoft_PowerPoint_Presentation2.pptx"/><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is.org/glossary" TargetMode="External"/><Relationship Id="rId23" Type="http://schemas.openxmlformats.org/officeDocument/2006/relationships/header" Target="header5.xml"/><Relationship Id="rId28" Type="http://schemas.openxmlformats.org/officeDocument/2006/relationships/header" Target="header8.xm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tis.org/docstore/product.aspx?id=27971"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hyperlink" Target="mailto:mdoll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085C-C31D-4C74-BE24-608E105C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7589</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50746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3</cp:revision>
  <dcterms:created xsi:type="dcterms:W3CDTF">2019-02-18T14:29:00Z</dcterms:created>
  <dcterms:modified xsi:type="dcterms:W3CDTF">2019-02-18T14:32:00Z</dcterms:modified>
</cp:coreProperties>
</file>