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77777777" w:rsidR="007E23D3" w:rsidRPr="007E23D3" w:rsidRDefault="00EB4863" w:rsidP="00572688">
            <w:pPr>
              <w:rPr>
                <w:rFonts w:cs="Arial"/>
                <w:sz w:val="18"/>
                <w:szCs w:val="18"/>
              </w:rPr>
            </w:pPr>
            <w:r>
              <w:rPr>
                <w:rFonts w:cs="Arial"/>
                <w:sz w:val="18"/>
                <w:szCs w:val="18"/>
              </w:rPr>
              <w:t>June 29, 2017</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687F221C" w14:textId="77777777" w:rsidR="00955C3D"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bookmarkStart w:id="31" w:name="_GoBack"/>
      <w:bookmarkEnd w:id="31"/>
      <w:r w:rsidR="00955C3D">
        <w:rPr>
          <w:noProof/>
        </w:rPr>
        <w:t>1</w:t>
      </w:r>
      <w:r w:rsidR="00955C3D">
        <w:rPr>
          <w:rFonts w:asciiTheme="minorHAnsi" w:eastAsiaTheme="minorEastAsia" w:hAnsiTheme="minorHAnsi" w:cstheme="minorBidi"/>
          <w:b w:val="0"/>
          <w:bCs w:val="0"/>
          <w:caps w:val="0"/>
          <w:noProof/>
          <w:sz w:val="24"/>
          <w:lang w:eastAsia="ja-JP"/>
        </w:rPr>
        <w:tab/>
      </w:r>
      <w:r w:rsidR="00955C3D">
        <w:rPr>
          <w:noProof/>
        </w:rPr>
        <w:t>Scope, Purpose, &amp; Application</w:t>
      </w:r>
      <w:r w:rsidR="00955C3D">
        <w:rPr>
          <w:noProof/>
        </w:rPr>
        <w:tab/>
      </w:r>
      <w:r w:rsidR="00955C3D">
        <w:rPr>
          <w:noProof/>
        </w:rPr>
        <w:fldChar w:fldCharType="begin"/>
      </w:r>
      <w:r w:rsidR="00955C3D">
        <w:rPr>
          <w:noProof/>
        </w:rPr>
        <w:instrText xml:space="preserve"> PAGEREF _Toc374108876 \h </w:instrText>
      </w:r>
      <w:r w:rsidR="00955C3D">
        <w:rPr>
          <w:noProof/>
        </w:rPr>
      </w:r>
      <w:r w:rsidR="00955C3D">
        <w:rPr>
          <w:noProof/>
        </w:rPr>
        <w:fldChar w:fldCharType="separate"/>
      </w:r>
      <w:r w:rsidR="00955C3D">
        <w:rPr>
          <w:noProof/>
        </w:rPr>
        <w:t>1</w:t>
      </w:r>
      <w:r w:rsidR="00955C3D">
        <w:rPr>
          <w:noProof/>
        </w:rPr>
        <w:fldChar w:fldCharType="end"/>
      </w:r>
    </w:p>
    <w:p w14:paraId="704C8AF3" w14:textId="77777777" w:rsidR="00955C3D" w:rsidRDefault="00955C3D">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_Toc374108877 \h </w:instrText>
      </w:r>
      <w:r>
        <w:rPr>
          <w:noProof/>
        </w:rPr>
      </w:r>
      <w:r>
        <w:rPr>
          <w:noProof/>
        </w:rPr>
        <w:fldChar w:fldCharType="separate"/>
      </w:r>
      <w:r>
        <w:rPr>
          <w:noProof/>
        </w:rPr>
        <w:t>1</w:t>
      </w:r>
      <w:r>
        <w:rPr>
          <w:noProof/>
        </w:rPr>
        <w:fldChar w:fldCharType="end"/>
      </w:r>
    </w:p>
    <w:p w14:paraId="437B7301" w14:textId="77777777" w:rsidR="00955C3D" w:rsidRDefault="00955C3D">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_Toc374108878 \h </w:instrText>
      </w:r>
      <w:r>
        <w:rPr>
          <w:noProof/>
        </w:rPr>
      </w:r>
      <w:r>
        <w:rPr>
          <w:noProof/>
        </w:rPr>
        <w:fldChar w:fldCharType="separate"/>
      </w:r>
      <w:r>
        <w:rPr>
          <w:noProof/>
        </w:rPr>
        <w:t>1</w:t>
      </w:r>
      <w:r>
        <w:rPr>
          <w:noProof/>
        </w:rPr>
        <w:fldChar w:fldCharType="end"/>
      </w:r>
    </w:p>
    <w:p w14:paraId="71F7C866" w14:textId="77777777" w:rsidR="00955C3D" w:rsidRDefault="00955C3D">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1.3</w:t>
      </w:r>
      <w:r>
        <w:rPr>
          <w:rFonts w:asciiTheme="minorHAnsi" w:eastAsiaTheme="minorEastAsia" w:hAnsiTheme="minorHAnsi" w:cstheme="minorBidi"/>
          <w:smallCaps w:val="0"/>
          <w:noProof/>
          <w:sz w:val="24"/>
          <w:lang w:eastAsia="ja-JP"/>
        </w:rPr>
        <w:tab/>
      </w:r>
      <w:r>
        <w:rPr>
          <w:noProof/>
        </w:rPr>
        <w:t>Application</w:t>
      </w:r>
      <w:r>
        <w:rPr>
          <w:noProof/>
        </w:rPr>
        <w:tab/>
      </w:r>
      <w:r>
        <w:rPr>
          <w:noProof/>
        </w:rPr>
        <w:fldChar w:fldCharType="begin"/>
      </w:r>
      <w:r>
        <w:rPr>
          <w:noProof/>
        </w:rPr>
        <w:instrText xml:space="preserve"> PAGEREF _Toc374108879 \h </w:instrText>
      </w:r>
      <w:r>
        <w:rPr>
          <w:noProof/>
        </w:rPr>
      </w:r>
      <w:r>
        <w:rPr>
          <w:noProof/>
        </w:rPr>
        <w:fldChar w:fldCharType="separate"/>
      </w:r>
      <w:r>
        <w:rPr>
          <w:noProof/>
        </w:rPr>
        <w:t>1</w:t>
      </w:r>
      <w:r>
        <w:rPr>
          <w:noProof/>
        </w:rPr>
        <w:fldChar w:fldCharType="end"/>
      </w:r>
    </w:p>
    <w:p w14:paraId="49CFE57E" w14:textId="77777777" w:rsidR="00955C3D" w:rsidRDefault="00955C3D">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_Toc374108880 \h </w:instrText>
      </w:r>
      <w:r>
        <w:rPr>
          <w:noProof/>
        </w:rPr>
      </w:r>
      <w:r>
        <w:rPr>
          <w:noProof/>
        </w:rPr>
        <w:fldChar w:fldCharType="separate"/>
      </w:r>
      <w:r>
        <w:rPr>
          <w:noProof/>
        </w:rPr>
        <w:t>2</w:t>
      </w:r>
      <w:r>
        <w:rPr>
          <w:noProof/>
        </w:rPr>
        <w:fldChar w:fldCharType="end"/>
      </w:r>
    </w:p>
    <w:p w14:paraId="47A3F71A" w14:textId="77777777" w:rsidR="00955C3D" w:rsidRDefault="00955C3D">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_Toc374108881 \h </w:instrText>
      </w:r>
      <w:r>
        <w:rPr>
          <w:noProof/>
        </w:rPr>
      </w:r>
      <w:r>
        <w:rPr>
          <w:noProof/>
        </w:rPr>
        <w:fldChar w:fldCharType="separate"/>
      </w:r>
      <w:r>
        <w:rPr>
          <w:noProof/>
        </w:rPr>
        <w:t>2</w:t>
      </w:r>
      <w:r>
        <w:rPr>
          <w:noProof/>
        </w:rPr>
        <w:fldChar w:fldCharType="end"/>
      </w:r>
    </w:p>
    <w:p w14:paraId="784B8299" w14:textId="77777777" w:rsidR="00955C3D" w:rsidRDefault="00955C3D">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_Toc374108882 \h </w:instrText>
      </w:r>
      <w:r>
        <w:rPr>
          <w:noProof/>
        </w:rPr>
      </w:r>
      <w:r>
        <w:rPr>
          <w:noProof/>
        </w:rPr>
        <w:fldChar w:fldCharType="separate"/>
      </w:r>
      <w:r>
        <w:rPr>
          <w:noProof/>
        </w:rPr>
        <w:t>2</w:t>
      </w:r>
      <w:r>
        <w:rPr>
          <w:noProof/>
        </w:rPr>
        <w:fldChar w:fldCharType="end"/>
      </w:r>
    </w:p>
    <w:p w14:paraId="03DE25D7" w14:textId="77777777" w:rsidR="00955C3D" w:rsidRDefault="00955C3D">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_Toc374108883 \h </w:instrText>
      </w:r>
      <w:r>
        <w:rPr>
          <w:noProof/>
        </w:rPr>
      </w:r>
      <w:r>
        <w:rPr>
          <w:noProof/>
        </w:rPr>
        <w:fldChar w:fldCharType="separate"/>
      </w:r>
      <w:r>
        <w:rPr>
          <w:noProof/>
        </w:rPr>
        <w:t>2</w:t>
      </w:r>
      <w:r>
        <w:rPr>
          <w:noProof/>
        </w:rPr>
        <w:fldChar w:fldCharType="end"/>
      </w:r>
    </w:p>
    <w:p w14:paraId="7C5E5F20" w14:textId="77777777" w:rsidR="00955C3D" w:rsidRDefault="00955C3D">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_Toc374108884 \h </w:instrText>
      </w:r>
      <w:r>
        <w:rPr>
          <w:noProof/>
        </w:rPr>
      </w:r>
      <w:r>
        <w:rPr>
          <w:noProof/>
        </w:rPr>
        <w:fldChar w:fldCharType="separate"/>
      </w:r>
      <w:r>
        <w:rPr>
          <w:noProof/>
        </w:rPr>
        <w:t>3</w:t>
      </w:r>
      <w:r>
        <w:rPr>
          <w:noProof/>
        </w:rPr>
        <w:fldChar w:fldCharType="end"/>
      </w:r>
    </w:p>
    <w:p w14:paraId="4B744D67" w14:textId="77777777" w:rsidR="00955C3D" w:rsidRDefault="00955C3D">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_Toc374108885 \h </w:instrText>
      </w:r>
      <w:r>
        <w:rPr>
          <w:noProof/>
        </w:rPr>
      </w:r>
      <w:r>
        <w:rPr>
          <w:noProof/>
        </w:rPr>
        <w:fldChar w:fldCharType="separate"/>
      </w:r>
      <w:r>
        <w:rPr>
          <w:noProof/>
        </w:rPr>
        <w:t>3</w:t>
      </w:r>
      <w:r>
        <w:rPr>
          <w:noProof/>
        </w:rPr>
        <w:fldChar w:fldCharType="end"/>
      </w:r>
    </w:p>
    <w:p w14:paraId="47CA4F25" w14:textId="77777777" w:rsidR="00955C3D" w:rsidRDefault="00955C3D">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_Toc374108886 \h </w:instrText>
      </w:r>
      <w:r>
        <w:rPr>
          <w:noProof/>
        </w:rPr>
      </w:r>
      <w:r>
        <w:rPr>
          <w:noProof/>
        </w:rPr>
        <w:fldChar w:fldCharType="separate"/>
      </w:r>
      <w:r>
        <w:rPr>
          <w:noProof/>
        </w:rPr>
        <w:t>4</w:t>
      </w:r>
      <w:r>
        <w:rPr>
          <w:noProof/>
        </w:rPr>
        <w:fldChar w:fldCharType="end"/>
      </w:r>
    </w:p>
    <w:p w14:paraId="374B1968" w14:textId="77777777" w:rsidR="00955C3D" w:rsidRDefault="00955C3D">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_Toc374108887 \h </w:instrText>
      </w:r>
      <w:r>
        <w:rPr>
          <w:noProof/>
        </w:rPr>
      </w:r>
      <w:r>
        <w:rPr>
          <w:noProof/>
        </w:rPr>
        <w:fldChar w:fldCharType="separate"/>
      </w:r>
      <w:r>
        <w:rPr>
          <w:noProof/>
        </w:rPr>
        <w:t>4</w:t>
      </w:r>
      <w:r>
        <w:rPr>
          <w:noProof/>
        </w:rPr>
        <w:fldChar w:fldCharType="end"/>
      </w:r>
    </w:p>
    <w:p w14:paraId="571A71E3" w14:textId="77777777" w:rsidR="00955C3D" w:rsidRDefault="00955C3D">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_Toc374108888 \h </w:instrText>
      </w:r>
      <w:r>
        <w:rPr>
          <w:noProof/>
        </w:rPr>
      </w:r>
      <w:r>
        <w:rPr>
          <w:noProof/>
        </w:rPr>
        <w:fldChar w:fldCharType="separate"/>
      </w:r>
      <w:r>
        <w:rPr>
          <w:noProof/>
        </w:rPr>
        <w:t>4</w:t>
      </w:r>
      <w:r>
        <w:rPr>
          <w:noProof/>
        </w:rPr>
        <w:fldChar w:fldCharType="end"/>
      </w:r>
    </w:p>
    <w:p w14:paraId="2C8FF9C4" w14:textId="77777777" w:rsidR="00955C3D" w:rsidRDefault="00955C3D">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TN Proof-of-Possession Architecture</w:t>
      </w:r>
      <w:r>
        <w:rPr>
          <w:noProof/>
        </w:rPr>
        <w:tab/>
      </w:r>
      <w:r>
        <w:rPr>
          <w:noProof/>
        </w:rPr>
        <w:fldChar w:fldCharType="begin"/>
      </w:r>
      <w:r>
        <w:rPr>
          <w:noProof/>
        </w:rPr>
        <w:instrText xml:space="preserve"> PAGEREF _Toc374108889 \h </w:instrText>
      </w:r>
      <w:r>
        <w:rPr>
          <w:noProof/>
        </w:rPr>
      </w:r>
      <w:r>
        <w:rPr>
          <w:noProof/>
        </w:rPr>
        <w:fldChar w:fldCharType="separate"/>
      </w:r>
      <w:r>
        <w:rPr>
          <w:noProof/>
        </w:rPr>
        <w:t>7</w:t>
      </w:r>
      <w:r>
        <w:rPr>
          <w:noProof/>
        </w:rPr>
        <w:fldChar w:fldCharType="end"/>
      </w:r>
    </w:p>
    <w:p w14:paraId="2A6DA80D" w14:textId="77777777" w:rsidR="00955C3D" w:rsidRDefault="00955C3D">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TN Proof-of-Possession Cert Management Message Flow</w:t>
      </w:r>
      <w:r>
        <w:rPr>
          <w:noProof/>
        </w:rPr>
        <w:tab/>
      </w:r>
      <w:r>
        <w:rPr>
          <w:noProof/>
        </w:rPr>
        <w:fldChar w:fldCharType="begin"/>
      </w:r>
      <w:r>
        <w:rPr>
          <w:noProof/>
        </w:rPr>
        <w:instrText xml:space="preserve"> PAGEREF _Toc374108890 \h </w:instrText>
      </w:r>
      <w:r>
        <w:rPr>
          <w:noProof/>
        </w:rPr>
      </w:r>
      <w:r>
        <w:rPr>
          <w:noProof/>
        </w:rPr>
        <w:fldChar w:fldCharType="separate"/>
      </w:r>
      <w:r>
        <w:rPr>
          <w:noProof/>
        </w:rPr>
        <w:t>8</w:t>
      </w:r>
      <w:r>
        <w:rPr>
          <w:noProof/>
        </w:rPr>
        <w:fldChar w:fldCharType="end"/>
      </w:r>
    </w:p>
    <w:p w14:paraId="4BD4B803" w14:textId="77777777" w:rsidR="00955C3D" w:rsidRDefault="00955C3D">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_Toc374108891 \h </w:instrText>
      </w:r>
      <w:r>
        <w:rPr>
          <w:noProof/>
        </w:rPr>
      </w:r>
      <w:r>
        <w:rPr>
          <w:noProof/>
        </w:rPr>
        <w:fldChar w:fldCharType="separate"/>
      </w:r>
      <w:r>
        <w:rPr>
          <w:noProof/>
        </w:rPr>
        <w:t>10</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70106474" w14:textId="77777777" w:rsidR="00B84454"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Pr>
          <w:noProof/>
        </w:rPr>
        <w:t>Figure 1.  Obtaining a PoP Certificate</w:t>
      </w:r>
      <w:r>
        <w:rPr>
          <w:noProof/>
        </w:rPr>
        <w:tab/>
      </w:r>
      <w:r>
        <w:rPr>
          <w:noProof/>
        </w:rPr>
        <w:fldChar w:fldCharType="begin"/>
      </w:r>
      <w:r>
        <w:rPr>
          <w:noProof/>
        </w:rPr>
        <w:instrText xml:space="preserve"> PAGEREF _Toc374090880 \h </w:instrText>
      </w:r>
      <w:r>
        <w:rPr>
          <w:noProof/>
        </w:rPr>
      </w:r>
      <w:r>
        <w:rPr>
          <w:noProof/>
        </w:rPr>
        <w:fldChar w:fldCharType="separate"/>
      </w:r>
      <w:r>
        <w:rPr>
          <w:noProof/>
        </w:rPr>
        <w:t>5</w:t>
      </w:r>
      <w:r>
        <w:rPr>
          <w:noProof/>
        </w:rPr>
        <w:fldChar w:fldCharType="end"/>
      </w:r>
    </w:p>
    <w:p w14:paraId="3FEAA63C" w14:textId="77777777" w:rsidR="00B84454"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PoP Certificate support of STI Authentication &amp; Verification during Call Setup</w:t>
      </w:r>
      <w:r>
        <w:rPr>
          <w:noProof/>
        </w:rPr>
        <w:tab/>
      </w:r>
      <w:r>
        <w:rPr>
          <w:noProof/>
        </w:rPr>
        <w:fldChar w:fldCharType="begin"/>
      </w:r>
      <w:r>
        <w:rPr>
          <w:noProof/>
        </w:rPr>
        <w:instrText xml:space="preserve"> PAGEREF _Toc374090881 \h </w:instrText>
      </w:r>
      <w:r>
        <w:rPr>
          <w:noProof/>
        </w:rPr>
      </w:r>
      <w:r>
        <w:rPr>
          <w:noProof/>
        </w:rPr>
        <w:fldChar w:fldCharType="separate"/>
      </w:r>
      <w:r>
        <w:rPr>
          <w:noProof/>
        </w:rPr>
        <w:t>6</w:t>
      </w:r>
      <w:r>
        <w:rPr>
          <w:noProof/>
        </w:rPr>
        <w:fldChar w:fldCharType="end"/>
      </w:r>
    </w:p>
    <w:p w14:paraId="27F81B73" w14:textId="77777777" w:rsidR="00B84454"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SHAKEN Architecture to support Management of PoP Certificate</w:t>
      </w:r>
      <w:r>
        <w:rPr>
          <w:noProof/>
        </w:rPr>
        <w:tab/>
      </w:r>
      <w:r>
        <w:rPr>
          <w:noProof/>
        </w:rPr>
        <w:fldChar w:fldCharType="begin"/>
      </w:r>
      <w:r>
        <w:rPr>
          <w:noProof/>
        </w:rPr>
        <w:instrText xml:space="preserve"> PAGEREF _Toc374090882 \h </w:instrText>
      </w:r>
      <w:r>
        <w:rPr>
          <w:noProof/>
        </w:rPr>
      </w:r>
      <w:r>
        <w:rPr>
          <w:noProof/>
        </w:rPr>
        <w:fldChar w:fldCharType="separate"/>
      </w:r>
      <w:r>
        <w:rPr>
          <w:noProof/>
        </w:rPr>
        <w:t>7</w:t>
      </w:r>
      <w:r>
        <w:rPr>
          <w:noProof/>
        </w:rPr>
        <w:fldChar w:fldCharType="end"/>
      </w:r>
    </w:p>
    <w:p w14:paraId="7441C179" w14:textId="77777777" w:rsidR="00B84454"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Procedure to obtain PoP certificate</w:t>
      </w:r>
      <w:r>
        <w:rPr>
          <w:noProof/>
        </w:rPr>
        <w:tab/>
      </w:r>
      <w:r>
        <w:rPr>
          <w:noProof/>
        </w:rPr>
        <w:fldChar w:fldCharType="begin"/>
      </w:r>
      <w:r>
        <w:rPr>
          <w:noProof/>
        </w:rPr>
        <w:instrText xml:space="preserve"> PAGEREF _Toc374090883 \h </w:instrText>
      </w:r>
      <w:r>
        <w:rPr>
          <w:noProof/>
        </w:rPr>
      </w:r>
      <w:r>
        <w:rPr>
          <w:noProof/>
        </w:rPr>
        <w:fldChar w:fldCharType="separate"/>
      </w:r>
      <w:r>
        <w:rPr>
          <w:noProof/>
        </w:rPr>
        <w:t>8</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32" w:name="_Toc374108876"/>
      <w:r>
        <w:lastRenderedPageBreak/>
        <w:t>Scope, Purpose, &amp; Application</w:t>
      </w:r>
      <w:bookmarkEnd w:id="32"/>
    </w:p>
    <w:p w14:paraId="524B9DED" w14:textId="77777777" w:rsidR="00424AF1" w:rsidRDefault="00424AF1" w:rsidP="00424AF1">
      <w:pPr>
        <w:pStyle w:val="Heading2"/>
      </w:pPr>
      <w:bookmarkStart w:id="33" w:name="_Toc374108877"/>
      <w:r>
        <w:t>Scope</w:t>
      </w:r>
      <w:bookmarkEnd w:id="33"/>
    </w:p>
    <w:p w14:paraId="39F66883" w14:textId="351E945D" w:rsidR="008818F4" w:rsidRDefault="00D674F3" w:rsidP="00424AF1">
      <w:r>
        <w:t xml:space="preserve">TN Proof-of-Possession (TN </w:t>
      </w:r>
      <w:r w:rsidR="00AA7C6B">
        <w:t xml:space="preserve">PoP) </w:t>
      </w:r>
      <w:r w:rsidR="00AA2A20" w:rsidRPr="00AA2A20">
        <w:t>is an extension to the base SHAKEN framework that enables an STI-authorized service provider to delegate authority for a subset of its telephone numbers to another non-STI entity. The non-STI entity can then use this “proof of posses</w:t>
      </w:r>
      <w:r w:rsidR="00A40EA8">
        <w:t xml:space="preserve">sion” to </w:t>
      </w:r>
      <w:r w:rsidR="00FD7FD5">
        <w:t>provide cryptographically proof</w:t>
      </w:r>
      <w:r w:rsidR="00A40EA8">
        <w:t xml:space="preserve"> to</w:t>
      </w:r>
      <w:r w:rsidR="00AA2A20" w:rsidRPr="00AA2A20">
        <w:t xml:space="preserve"> </w:t>
      </w:r>
      <w:r w:rsidR="00A40EA8">
        <w:t>STI verification services</w:t>
      </w:r>
      <w:r w:rsidR="00AA2A20" w:rsidRPr="00AA2A20">
        <w:t xml:space="preserve"> that it has authority to originate 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34" w:name="_Toc374108878"/>
      <w:r>
        <w:t>Purpose</w:t>
      </w:r>
      <w:bookmarkEnd w:id="34"/>
    </w:p>
    <w:p w14:paraId="5BE9D900" w14:textId="49A17226" w:rsidR="00FC6C42" w:rsidRDefault="00842F25" w:rsidP="00731019">
      <w:r>
        <w:t>TN Proof-of-Possession provides a method</w:t>
      </w:r>
      <w:r w:rsidR="00314601">
        <w:t xml:space="preserve"> that enables an originating entity to prove it is authorized to use the calling TN when the originating Service Provider does not have authority over the calling TN. Such cases include</w:t>
      </w:r>
      <w:r w:rsidR="00DF7B7D">
        <w:t>:</w:t>
      </w:r>
    </w:p>
    <w:p w14:paraId="3536BE5A" w14:textId="77777777" w:rsidR="00AA2A20" w:rsidRPr="002A23E3" w:rsidRDefault="004B1474" w:rsidP="00380013">
      <w:pPr>
        <w:numPr>
          <w:ilvl w:val="0"/>
          <w:numId w:val="28"/>
        </w:numPr>
        <w:rPr>
          <w:i/>
        </w:rPr>
      </w:pPr>
      <w:r>
        <w:rPr>
          <w:i/>
        </w:rPr>
        <w:t>Need to d</w:t>
      </w:r>
      <w:r w:rsidR="00AA2A20" w:rsidRPr="002A23E3">
        <w:rPr>
          <w:i/>
        </w:rPr>
        <w:t>escribe the different real-world cases where orig SP doesn’t own calling TN, for example…</w:t>
      </w:r>
    </w:p>
    <w:p w14:paraId="10314503" w14:textId="77777777" w:rsidR="00AA2A20" w:rsidRPr="002A23E3" w:rsidRDefault="00AA2A20" w:rsidP="00380013">
      <w:pPr>
        <w:numPr>
          <w:ilvl w:val="0"/>
          <w:numId w:val="28"/>
        </w:numPr>
        <w:rPr>
          <w:i/>
        </w:rPr>
      </w:pPr>
      <w:r w:rsidRPr="002A23E3">
        <w:rPr>
          <w:i/>
        </w:rPr>
        <w:t>Multi-homed PBXs, where the PBX can originate a call via one of its host SPs from a calling TN owned by another host SP.</w:t>
      </w:r>
    </w:p>
    <w:p w14:paraId="4D312E0D" w14:textId="77777777" w:rsidR="00AA2A20" w:rsidRPr="002A23E3" w:rsidRDefault="00AA2A20" w:rsidP="00380013">
      <w:pPr>
        <w:numPr>
          <w:ilvl w:val="0"/>
          <w:numId w:val="28"/>
        </w:numPr>
        <w:rPr>
          <w:i/>
        </w:rPr>
      </w:pPr>
      <w:r w:rsidRPr="002A23E3">
        <w:rPr>
          <w:i/>
        </w:rPr>
        <w:t>Toll-free numbers, where an enterprise originates a call via its host SP using a toll-free calling number that it purchased from a RespOrg.</w:t>
      </w:r>
    </w:p>
    <w:p w14:paraId="72C077C5" w14:textId="77777777" w:rsidR="00AA2A20" w:rsidRPr="002A23E3" w:rsidRDefault="00AA2A20" w:rsidP="00380013">
      <w:pPr>
        <w:numPr>
          <w:ilvl w:val="0"/>
          <w:numId w:val="28"/>
        </w:numPr>
        <w:rPr>
          <w:i/>
        </w:rPr>
      </w:pPr>
      <w:r w:rsidRPr="002A23E3">
        <w:rPr>
          <w:i/>
        </w:rPr>
        <w:t xml:space="preserve">Legitimate spoofing cases, </w:t>
      </w:r>
      <w:r w:rsidR="004B1474">
        <w:rPr>
          <w:i/>
        </w:rPr>
        <w:t xml:space="preserve">such as when </w:t>
      </w:r>
      <w:r w:rsidRPr="002A23E3">
        <w:rPr>
          <w:i/>
        </w:rPr>
        <w:t>a user originates a call on her personal phone and delivers the office TN.</w:t>
      </w:r>
    </w:p>
    <w:p w14:paraId="5CBFB29B" w14:textId="77777777" w:rsidR="00AA2A20" w:rsidRPr="002A23E3" w:rsidRDefault="00AA2A20" w:rsidP="00380013">
      <w:pPr>
        <w:numPr>
          <w:ilvl w:val="0"/>
          <w:numId w:val="28"/>
        </w:numPr>
        <w:rPr>
          <w:i/>
        </w:rPr>
      </w:pPr>
      <w:r w:rsidRPr="002A23E3">
        <w:rPr>
          <w:i/>
        </w:rPr>
        <w:t>Automated outbound dialing services</w:t>
      </w:r>
    </w:p>
    <w:p w14:paraId="14699246" w14:textId="77777777" w:rsidR="00424AF1" w:rsidRDefault="00424AF1" w:rsidP="00424AF1"/>
    <w:p w14:paraId="311D40AD" w14:textId="77777777" w:rsidR="00424AF1" w:rsidRDefault="00424AF1" w:rsidP="00424AF1">
      <w:pPr>
        <w:pStyle w:val="Heading2"/>
      </w:pPr>
      <w:bookmarkStart w:id="35" w:name="_Toc374108879"/>
      <w:r>
        <w:t>Application</w:t>
      </w:r>
      <w:bookmarkEnd w:id="35"/>
    </w:p>
    <w:p w14:paraId="4A470C5D" w14:textId="77777777" w:rsidR="00424AF1" w:rsidRDefault="00424AF1" w:rsidP="00424AF1">
      <w:r>
        <w:t>xxx</w:t>
      </w:r>
    </w:p>
    <w:p w14:paraId="22B21DD5" w14:textId="77777777" w:rsidR="00424AF1" w:rsidRDefault="00424AF1" w:rsidP="00424AF1"/>
    <w:p w14:paraId="262F4A40" w14:textId="77777777" w:rsidR="00424AF1" w:rsidRDefault="007D56E0" w:rsidP="00424AF1">
      <w:pPr>
        <w:pStyle w:val="Heading1"/>
      </w:pPr>
      <w:r>
        <w:br w:type="page"/>
      </w:r>
      <w:bookmarkStart w:id="36" w:name="_Toc374108880"/>
      <w:r w:rsidR="00424AF1">
        <w:lastRenderedPageBreak/>
        <w:t>Normative References</w:t>
      </w:r>
      <w:bookmarkEnd w:id="3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37" w:name="_Toc374108881"/>
      <w:r>
        <w:t>Definitions, Acronyms, &amp; Abbreviations</w:t>
      </w:r>
      <w:bookmarkEnd w:id="37"/>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38" w:name="_Toc374108882"/>
      <w:r>
        <w:t>Definitions</w:t>
      </w:r>
      <w:bookmarkEnd w:id="38"/>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39" w:name="_Toc374108883"/>
      <w:r>
        <w:t>Acronyms &amp; Abbreviations</w:t>
      </w:r>
      <w:bookmarkEnd w:id="3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0" w:name="_Toc374108884"/>
      <w:r w:rsidR="00D50286">
        <w:lastRenderedPageBreak/>
        <w:t>Overview</w:t>
      </w:r>
      <w:bookmarkEnd w:id="40"/>
    </w:p>
    <w:p w14:paraId="1B6C9470" w14:textId="4CF18C3F" w:rsidR="00D77D7D" w:rsidRDefault="00314601" w:rsidP="00D77D7D">
      <w:r>
        <w:t xml:space="preserve">The </w:t>
      </w:r>
      <w:r w:rsidR="00E6771F">
        <w:t>base SHAK</w:t>
      </w:r>
      <w:r w:rsidR="005A100B">
        <w:t>EN framework defined in [</w:t>
      </w:r>
      <w:r w:rsidR="00E6771F">
        <w:t>specs</w:t>
      </w:r>
      <w:r w:rsidR="005A100B">
        <w:t xml:space="preserve"> ref</w:t>
      </w:r>
      <w:r w:rsidR="00E6771F">
        <w:t>]</w:t>
      </w:r>
      <w:r w:rsidR="00F801C5">
        <w:t xml:space="preserve"> enables an </w:t>
      </w:r>
      <w:r w:rsidR="005A100B">
        <w:t>originating SP</w:t>
      </w:r>
      <w:r w:rsidR="00131045">
        <w:t xml:space="preserve"> </w:t>
      </w:r>
      <w:r w:rsidR="00E6771F">
        <w:t>to provide fu</w:t>
      </w:r>
      <w:r w:rsidR="005A100B">
        <w:t xml:space="preserve">ll SHAKEN attestation </w:t>
      </w:r>
      <w:r w:rsidR="00E6771F">
        <w:t xml:space="preserve">when it has authority over the calling TN. </w:t>
      </w:r>
      <w:r w:rsidR="00D77D7D">
        <w:t>However, there are a number of real-world scenarios where this is not the case; i.e., where an SP provides originating services for a calling TN that it does not own. These include the following:</w:t>
      </w:r>
    </w:p>
    <w:p w14:paraId="2F875093" w14:textId="14CE7055" w:rsidR="00D77D7D" w:rsidRDefault="00D77D7D" w:rsidP="00D77D7D">
      <w:pPr>
        <w:pStyle w:val="ListParagraph"/>
        <w:numPr>
          <w:ilvl w:val="0"/>
          <w:numId w:val="31"/>
        </w:numPr>
      </w:pPr>
      <w:r>
        <w:t>A</w:t>
      </w:r>
      <w:r w:rsidRPr="00B411BD">
        <w:t xml:space="preserve"> PBX that is hosted by multiple SPs (for </w:t>
      </w:r>
      <w:r>
        <w:t xml:space="preserve">improved </w:t>
      </w:r>
      <w:r w:rsidRPr="00B411BD">
        <w:t xml:space="preserve">reliability) originates a call via one of </w:t>
      </w:r>
      <w:r w:rsidR="00F816EC">
        <w:t>its</w:t>
      </w:r>
      <w:r w:rsidRPr="00B411BD">
        <w:t xml:space="preserve"> host SPs from a calling TN that it obtained from another host SP</w:t>
      </w:r>
    </w:p>
    <w:p w14:paraId="752AE09B" w14:textId="0A2B244F" w:rsidR="00D77D7D" w:rsidRDefault="00D77D7D" w:rsidP="00D77D7D">
      <w:pPr>
        <w:pStyle w:val="ListParagraph"/>
        <w:numPr>
          <w:ilvl w:val="0"/>
          <w:numId w:val="31"/>
        </w:numPr>
      </w:pPr>
      <w:r>
        <w:t xml:space="preserve">An enterprise originates a call via its host </w:t>
      </w:r>
      <w:r w:rsidR="00F816EC">
        <w:t>SP from a calling toll-free</w:t>
      </w:r>
      <w:r>
        <w:t xml:space="preserve"> number that it obtained from a RespOrg</w:t>
      </w:r>
    </w:p>
    <w:p w14:paraId="6A08C719" w14:textId="4B443DA4" w:rsidR="004E368C" w:rsidRDefault="00F816EC" w:rsidP="00D77D7D">
      <w:pPr>
        <w:pStyle w:val="ListParagraph"/>
        <w:numPr>
          <w:ilvl w:val="0"/>
          <w:numId w:val="31"/>
        </w:numPr>
      </w:pPr>
      <w:r>
        <w:t xml:space="preserve">A </w:t>
      </w:r>
      <w:r w:rsidR="004E368C">
        <w:t xml:space="preserve">legitimate spoofing service </w:t>
      </w:r>
      <w:r w:rsidR="003F14AA">
        <w:t>displays a user</w:t>
      </w:r>
      <w:r w:rsidR="004E368C">
        <w:t>’s work TN for calls originated from the user’s home phone</w:t>
      </w:r>
    </w:p>
    <w:p w14:paraId="08F785E9" w14:textId="095A22B7" w:rsidR="00D77D7D" w:rsidRDefault="00D77D7D" w:rsidP="00D77D7D">
      <w:pPr>
        <w:pStyle w:val="ListParagraph"/>
        <w:numPr>
          <w:ilvl w:val="0"/>
          <w:numId w:val="31"/>
        </w:numPr>
      </w:pPr>
      <w:r>
        <w:t>An automatic outbound dialing service originates a call via its host SP using a calling TN that is owned by another SP (e.g. a school subscribes to an outbound calli</w:t>
      </w:r>
      <w:r w:rsidR="003F14AA">
        <w:t>ng service that announces snow-day</w:t>
      </w:r>
      <w:r>
        <w:t xml:space="preserve"> closings)</w:t>
      </w:r>
    </w:p>
    <w:p w14:paraId="1AD8E8D4" w14:textId="3B67B730" w:rsidR="00D77D7D" w:rsidRDefault="00D77D7D" w:rsidP="00D77D7D">
      <w:r>
        <w:t xml:space="preserve">For these types of call scenarios, where TN ownership and originating services are provided by two separate providers, the originating Service Provider’s authentication service cannot fully attest that the originator has the authority to use the calling TN. This puts </w:t>
      </w:r>
      <w:r w:rsidR="003E5807">
        <w:t xml:space="preserve">these </w:t>
      </w:r>
      <w:r>
        <w:t>calling users at a disadvantage, since the value of delivering calls with full SHAK</w:t>
      </w:r>
      <w:r w:rsidR="003F14AA">
        <w:t>E</w:t>
      </w:r>
      <w:r>
        <w:t xml:space="preserve">N attestation won’t be available to them (e.g., the value in achieving higher answer rates for calls that </w:t>
      </w:r>
      <w:r w:rsidR="003F14AA">
        <w:t>provide a “calling TN verified” display to the called user).</w:t>
      </w:r>
    </w:p>
    <w:p w14:paraId="055BBE22" w14:textId="0BD659FE"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to enable a calling TN to be authenticated with full attestation when TN ownership and TN originating processing are split between two different providers.</w:t>
      </w:r>
    </w:p>
    <w:p w14:paraId="4094BB38" w14:textId="19D2A210" w:rsidR="00BF2BED" w:rsidRDefault="00BF2BED" w:rsidP="00BF2BED">
      <w:r>
        <w:t>TN Proof-of-Possession defines two new entities:</w:t>
      </w:r>
    </w:p>
    <w:p w14:paraId="24DF2AA3" w14:textId="77777777" w:rsidR="00BF2BED" w:rsidRDefault="00BF2BED" w:rsidP="00BF2BED">
      <w:pPr>
        <w:numPr>
          <w:ilvl w:val="0"/>
          <w:numId w:val="29"/>
        </w:numPr>
      </w:pPr>
      <w:r>
        <w:t xml:space="preserve">Telephone Number Provider: </w:t>
      </w:r>
    </w:p>
    <w:p w14:paraId="20737A25" w14:textId="79F79200" w:rsidR="00BF2BED" w:rsidRDefault="00BF2BED" w:rsidP="00BF2BED">
      <w:pPr>
        <w:numPr>
          <w:ilvl w:val="1"/>
          <w:numId w:val="29"/>
        </w:numPr>
      </w:pPr>
      <w:r>
        <w:t>An entity that is authoritative over a set of telephone numbers, and that can delegate a subset of those telephone numbers to another entity.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0921A97F" w14:textId="51F7DD2B" w:rsidR="00BF2BED" w:rsidRDefault="00BF2BED" w:rsidP="00BF2BED">
      <w:pPr>
        <w:numPr>
          <w:ilvl w:val="1"/>
          <w:numId w:val="29"/>
        </w:numPr>
      </w:pPr>
      <w:r>
        <w:t>Examples include STI-authorized telephone service providers, plus other entities that are responsible for providing TNs, such as RespOrgs, and 3</w:t>
      </w:r>
      <w:r w:rsidRPr="00824853">
        <w:rPr>
          <w:vertAlign w:val="superscript"/>
        </w:rPr>
        <w:t>rd</w:t>
      </w:r>
      <w:r>
        <w:t>-party TN providers such as Bandwidth.com.</w:t>
      </w:r>
    </w:p>
    <w:p w14:paraId="6B702E9F" w14:textId="77777777" w:rsidR="00BF2BED" w:rsidRDefault="00BF2BED" w:rsidP="00BF2BED">
      <w:pPr>
        <w:numPr>
          <w:ilvl w:val="0"/>
          <w:numId w:val="29"/>
        </w:numPr>
      </w:pPr>
      <w:r>
        <w:t xml:space="preserve">Customer Application Function: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77777777" w:rsidR="00BF2BED" w:rsidRDefault="00BF2BED" w:rsidP="00BF2BED">
      <w:pPr>
        <w:numPr>
          <w:ilvl w:val="1"/>
          <w:numId w:val="29"/>
        </w:numPr>
      </w:pPr>
      <w:r>
        <w:t>Examples include an Enterprise PBX, a legitimate spoofing application, or an automated outbound dialing service.</w:t>
      </w:r>
    </w:p>
    <w:p w14:paraId="2F00FC75" w14:textId="304CD959" w:rsidR="00BF2BED" w:rsidRDefault="00BF2BED" w:rsidP="00BF2BED">
      <w:r>
        <w:t>The TN PoP framework provides a way for the Customer AF to obtain a PoP certi</w:t>
      </w:r>
      <w:r w:rsidR="00FB6DBE">
        <w:t>ficate from the TN Provider</w:t>
      </w:r>
      <w:r w:rsidR="00384464">
        <w:t>, that t</w:t>
      </w:r>
      <w:r w:rsidR="00FB6DBE">
        <w:t xml:space="preserve">he Customer AF </w:t>
      </w:r>
      <w:r>
        <w:t xml:space="preserve">can use </w:t>
      </w:r>
      <w:r w:rsidR="00384464">
        <w:t xml:space="preserve">the </w:t>
      </w:r>
      <w:r>
        <w:t>to pro</w:t>
      </w:r>
      <w:r w:rsidR="00C90A41">
        <w:t>ve to remote verification services</w:t>
      </w:r>
      <w:r>
        <w:t xml:space="preserve"> that it has</w:t>
      </w:r>
      <w:r w:rsidR="00272E59">
        <w:t xml:space="preserve"> authority over the calling TNs delegated to it by the TN provider.</w:t>
      </w:r>
    </w:p>
    <w:p w14:paraId="7B0F7C5D" w14:textId="35B2CE52" w:rsidR="00980558" w:rsidRDefault="00980558" w:rsidP="00980558">
      <w:pPr>
        <w:pStyle w:val="Heading3"/>
      </w:pPr>
      <w:bookmarkStart w:id="41" w:name="_Toc374108885"/>
      <w:r>
        <w:t>PoP Certificate</w:t>
      </w:r>
      <w:bookmarkEnd w:id="41"/>
    </w:p>
    <w:p w14:paraId="3075D6DE" w14:textId="0E439C11"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 xml:space="preserve">the TN Authorization List </w:t>
      </w:r>
      <w:r w:rsidR="009E23E9">
        <w:t xml:space="preserve">of a SHAKEN </w:t>
      </w:r>
      <w:r w:rsidR="007B39B9">
        <w:t xml:space="preserve">STI certificate </w:t>
      </w:r>
      <w:r w:rsidR="006A60C9">
        <w:t xml:space="preserve">must </w:t>
      </w:r>
      <w:r w:rsidR="00830F5F">
        <w:t>contain a ServiceProviderCode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PASSporT tokens only for calling numbers that it has authority over.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685AF46D" w:rsidR="00980558" w:rsidRDefault="00980558" w:rsidP="00980558">
      <w:r>
        <w:t xml:space="preserve">Since </w:t>
      </w:r>
      <w:r w:rsidR="00F04A40">
        <w:t>a</w:t>
      </w:r>
      <w:r>
        <w:t xml:space="preserve"> Customer AF is not an STI-authorized entity, </w:t>
      </w:r>
      <w:r w:rsidR="00502E46">
        <w:t>it would not be practical 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horized to use the calling TN</w:t>
      </w:r>
      <w:r w:rsidR="00885D88">
        <w:t>.</w:t>
      </w:r>
      <w:r w:rsidR="00F04A40">
        <w:t xml:space="preserve"> The </w:t>
      </w:r>
      <w:r>
        <w:t xml:space="preserve">scope of </w:t>
      </w:r>
      <w:r w:rsidR="00F04A40">
        <w:t>a</w:t>
      </w:r>
      <w:r>
        <w:t xml:space="preserve"> PoP certificate must be </w:t>
      </w:r>
      <w:r w:rsidR="00F04A40">
        <w:t xml:space="preserve">therefore be </w:t>
      </w:r>
      <w:r>
        <w:t xml:space="preserve">expressed in </w:t>
      </w:r>
      <w:r w:rsidR="00C632C1">
        <w:t>more granular terms that explicitly identify</w:t>
      </w:r>
      <w:r>
        <w:t xml:space="preserve"> the set of TNs that have been delegated by the TN Provider to the Customer AF. In this way, </w:t>
      </w:r>
      <w:r w:rsidR="00182C1D">
        <w:t xml:space="preserve">a verifier </w:t>
      </w:r>
      <w:r>
        <w:t xml:space="preserve">can check that the calling </w:t>
      </w:r>
      <w:r>
        <w:lastRenderedPageBreak/>
        <w:t xml:space="preserve">TN is on the list of TNs identified by the PoP certificate. This more granular scope for TN PoP certificates is achieved using the TelephoneNumber, and TelephoneNumberRange data types of the TN </w:t>
      </w:r>
      <w:r w:rsidR="00182C1D">
        <w:t>Authorization List</w:t>
      </w:r>
      <w:r>
        <w:t>.</w:t>
      </w:r>
      <w:r w:rsidR="004E10AF">
        <w:t xml:space="preserve"> </w:t>
      </w:r>
    </w:p>
    <w:p w14:paraId="042E65F0" w14:textId="27A1FFC6" w:rsidR="00980558" w:rsidRDefault="00980558" w:rsidP="00980558">
      <w:pPr>
        <w:pStyle w:val="Heading3"/>
      </w:pPr>
      <w:bookmarkStart w:id="42" w:name="_Toc374108886"/>
      <w:r>
        <w:t>PoP PASSporT Token</w:t>
      </w:r>
      <w:bookmarkEnd w:id="42"/>
    </w:p>
    <w:p w14:paraId="0CDE1C8F" w14:textId="5DD8D58E" w:rsidR="00F04A40" w:rsidRDefault="00980558" w:rsidP="00980558">
      <w:r>
        <w:t xml:space="preserve">TN PoP extends the base PASSporT token defined in </w:t>
      </w:r>
      <w:r w:rsidRPr="00890C7B">
        <w:t>draft-ietf-stir-passport</w:t>
      </w:r>
      <w:r>
        <w:t xml:space="preserve">. This </w:t>
      </w:r>
      <w:r w:rsidR="00FE43EA">
        <w:t xml:space="preserve">PASSporT </w:t>
      </w:r>
      <w:r>
        <w:t xml:space="preserve">extension </w:t>
      </w:r>
      <w:r w:rsidR="000623B9">
        <w:t xml:space="preserve">serves two purposes. First, it enables a specific set of claims to be defined for the PoP PASSporT token. </w:t>
      </w:r>
      <w:r w:rsidR="009A557A">
        <w:t>Second, the</w:t>
      </w:r>
      <w:r w:rsidR="000623B9">
        <w:t xml:space="preserve"> PoP PASSporT </w:t>
      </w:r>
      <w:r w:rsidR="00F47D31">
        <w:t xml:space="preserve">“ppt”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43" w:name="_Toc374108887"/>
      <w:r>
        <w:t xml:space="preserve">TN PoP </w:t>
      </w:r>
      <w:r w:rsidR="00F04A40">
        <w:t>Requirements</w:t>
      </w:r>
      <w:bookmarkEnd w:id="43"/>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226E89AE"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r w:rsidR="00B22AFA">
        <w:t xml:space="preserve">only </w:t>
      </w:r>
      <w:r>
        <w:t xml:space="preserve">if the Customer 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2012C228" w14:textId="03506B72" w:rsidR="00D54F5E" w:rsidRDefault="00B22AFA" w:rsidP="00016480">
      <w:pPr>
        <w:pStyle w:val="ListParagraph"/>
        <w:numPr>
          <w:ilvl w:val="0"/>
          <w:numId w:val="44"/>
        </w:numPr>
      </w:pPr>
      <w:r>
        <w:t>A</w:t>
      </w:r>
      <w:r w:rsidR="00EE19C1">
        <w:t xml:space="preserve"> TN provider must not provide TN PoP certificates for TNs that it does not own.</w:t>
      </w:r>
    </w:p>
    <w:p w14:paraId="19F5030C" w14:textId="147B42BB" w:rsidR="00A404B7" w:rsidRDefault="00A404B7" w:rsidP="00016480">
      <w:pPr>
        <w:pStyle w:val="ListParagraph"/>
        <w:numPr>
          <w:ilvl w:val="0"/>
          <w:numId w:val="44"/>
        </w:numPr>
      </w:pPr>
      <w:r>
        <w:t>When renewing a PoP certificate, the TN provider must ensure that the scope of the new PoP certificate identifies the set of TNs currently delegated to the Customer AF.</w:t>
      </w:r>
    </w:p>
    <w:p w14:paraId="72DACCFE" w14:textId="77777777"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build an Identity header containing a PoP PASSporT token for the calling TN</w:t>
      </w:r>
      <w:r w:rsidR="00FA0931">
        <w:t>)</w:t>
      </w:r>
      <w:r w:rsidR="000F58B9">
        <w:t>.</w:t>
      </w:r>
    </w:p>
    <w:p w14:paraId="0E9FC85A" w14:textId="101B123E" w:rsidR="00A404B7" w:rsidRDefault="00641486" w:rsidP="00016480">
      <w:pPr>
        <w:pStyle w:val="ListParagraph"/>
        <w:numPr>
          <w:ilvl w:val="0"/>
          <w:numId w:val="44"/>
        </w:numPr>
      </w:pPr>
      <w:r>
        <w:t>An</w:t>
      </w:r>
      <w:r w:rsidR="00992170">
        <w:t xml:space="preserve"> originating SP serving the Customer AF must convey </w:t>
      </w:r>
      <w:r>
        <w:t>any PoP Identity header received from the Customer AF</w:t>
      </w:r>
      <w:r w:rsidR="00992170">
        <w:t xml:space="preserve"> unchanged to</w:t>
      </w:r>
      <w:r>
        <w:t>ward</w:t>
      </w:r>
      <w:r w:rsidR="00992170">
        <w:t xml:space="preserve"> the terminating network. </w:t>
      </w:r>
      <w:r w:rsidR="00750387">
        <w:t xml:space="preserve">In other words, TN PoP Identity headers are carried end-to-end </w:t>
      </w:r>
      <w:r w:rsidR="00EE60E2">
        <w:t xml:space="preserve">from the originating Customer AF </w:t>
      </w:r>
      <w:r w:rsidR="00750387">
        <w:t>to the terminating network.</w:t>
      </w:r>
    </w:p>
    <w:p w14:paraId="7AA3B220" w14:textId="4A8E5878" w:rsidR="00750387" w:rsidRPr="00750387" w:rsidRDefault="00750387" w:rsidP="00750387">
      <w:pPr>
        <w:ind w:left="720"/>
        <w:rPr>
          <w:i/>
        </w:rPr>
      </w:pPr>
      <w:r w:rsidRPr="00750387">
        <w:rPr>
          <w:i/>
        </w:rPr>
        <w:t>Discussion – why don’t we mandate that the originating SP verify the received PoP PASSporT token, and if valid, replace it with a SHAKEN Identity header containing a SHAKEN PASSporT token with full attesta</w:t>
      </w:r>
      <w:r w:rsidR="005110F6">
        <w:rPr>
          <w:i/>
        </w:rPr>
        <w:t xml:space="preserve">tion? Two reasons. First, </w:t>
      </w:r>
      <w:r w:rsidRPr="00750387">
        <w:rPr>
          <w:i/>
        </w:rPr>
        <w:t>the originating SP isn’t responsible for the delegation of TNs from the TN provider to the customer AF,</w:t>
      </w:r>
      <w:r w:rsidR="005110F6">
        <w:rPr>
          <w:i/>
        </w:rPr>
        <w:t xml:space="preserve"> and therefore</w:t>
      </w:r>
      <w:r w:rsidRPr="00750387">
        <w:rPr>
          <w:i/>
        </w:rPr>
        <w:t xml:space="preserve"> its reputation should not be negatively impacted if something goes wrong.  An SP should only be required provide full SHAKEN attestation for calling TNs that it owns – requiring it to do any</w:t>
      </w:r>
      <w:r w:rsidR="005110F6">
        <w:rPr>
          <w:i/>
        </w:rPr>
        <w:t xml:space="preserve">thing beyond that would </w:t>
      </w:r>
      <w:r w:rsidRPr="00750387">
        <w:rPr>
          <w:i/>
        </w:rPr>
        <w:t>be outside the spirit of SHAKEN. Second, if a problem is detected post-verification, then we want to identify the TN provider so it can revoke the PoP certificate that was used. Carrying the PoP Identity header end-to-end provides post-verification trace-back procedures with the information needed to easily identify the TN provider.</w:t>
      </w:r>
    </w:p>
    <w:p w14:paraId="64E25911" w14:textId="30B06CCF" w:rsidR="000A573C" w:rsidRDefault="000A573C" w:rsidP="00750387">
      <w:pPr>
        <w:pStyle w:val="ListParagraph"/>
        <w:numPr>
          <w:ilvl w:val="0"/>
          <w:numId w:val="44"/>
        </w:numPr>
      </w:pPr>
      <w:r>
        <w:t xml:space="preserve">A PoP PASSporT token implicitly indicates “full” attestation. Therefore, </w:t>
      </w:r>
      <w:r w:rsidR="003E0009">
        <w:t xml:space="preserve">the </w:t>
      </w:r>
      <w:r>
        <w:t xml:space="preserve">PoP PASSporT token does not require an </w:t>
      </w:r>
      <w:r w:rsidR="00B01A3C">
        <w:t xml:space="preserve">explicit </w:t>
      </w:r>
      <w:r>
        <w:t>attestation claim.</w:t>
      </w:r>
    </w:p>
    <w:p w14:paraId="73D41BFD" w14:textId="66E5FB76" w:rsidR="000A573C" w:rsidRPr="000A573C" w:rsidRDefault="000A573C" w:rsidP="000A573C">
      <w:pPr>
        <w:ind w:left="720"/>
        <w:rPr>
          <w:i/>
        </w:rPr>
      </w:pPr>
      <w:r>
        <w:rPr>
          <w:i/>
        </w:rPr>
        <w:t>Discussion: is there any reason why a Customer AF would want to generate a PoP PASSporT token with anything other than full attestation?</w:t>
      </w:r>
    </w:p>
    <w:p w14:paraId="57E31E4D" w14:textId="77777777" w:rsidR="00842F25" w:rsidRDefault="00842F25" w:rsidP="00DC531A"/>
    <w:p w14:paraId="45376526" w14:textId="3792F9A4" w:rsidR="00C13C7F" w:rsidRDefault="00C13C7F" w:rsidP="007F5DB8">
      <w:pPr>
        <w:pStyle w:val="Heading3"/>
      </w:pPr>
      <w:bookmarkStart w:id="44" w:name="_Toc374108888"/>
      <w:r>
        <w:t>TN PoP Procedures</w:t>
      </w:r>
      <w:bookmarkEnd w:id="44"/>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46597D90" w:rsidR="007C3C85" w:rsidRDefault="00E84E6D" w:rsidP="007C3C85">
      <w:pPr>
        <w:jc w:val="center"/>
      </w:pPr>
      <w:r w:rsidRPr="00E84E6D">
        <w:rPr>
          <w:noProof/>
        </w:rPr>
        <w:lastRenderedPageBreak/>
        <w:drawing>
          <wp:inline distT="0" distB="0" distL="0" distR="0" wp14:anchorId="10FD2C25" wp14:editId="75CF322F">
            <wp:extent cx="5231671" cy="417406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1671" cy="4174067"/>
                    </a:xfrm>
                    <a:prstGeom prst="rect">
                      <a:avLst/>
                    </a:prstGeom>
                    <a:noFill/>
                    <a:ln>
                      <a:noFill/>
                    </a:ln>
                  </pic:spPr>
                </pic:pic>
              </a:graphicData>
            </a:graphic>
          </wp:inline>
        </w:drawing>
      </w:r>
    </w:p>
    <w:p w14:paraId="6D75B112" w14:textId="14DA2555" w:rsidR="007C3C85" w:rsidRPr="00DB638F" w:rsidRDefault="007C3C85" w:rsidP="007C3C85">
      <w:pPr>
        <w:pStyle w:val="Caption"/>
        <w:rPr>
          <w:sz w:val="18"/>
          <w:szCs w:val="18"/>
        </w:rPr>
      </w:pPr>
      <w:bookmarkStart w:id="45" w:name="_Ref371627201"/>
      <w:bookmarkStart w:id="46" w:name="_Toc37409088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45"/>
      <w:r w:rsidR="00A74CE4">
        <w:rPr>
          <w:sz w:val="18"/>
          <w:szCs w:val="18"/>
        </w:rPr>
        <w:t xml:space="preserve">.  Obtaining </w:t>
      </w:r>
      <w:r w:rsidR="00A056B5">
        <w:rPr>
          <w:sz w:val="18"/>
          <w:szCs w:val="18"/>
        </w:rPr>
        <w:t xml:space="preserve">a </w:t>
      </w:r>
      <w:r w:rsidR="00A74CE4">
        <w:rPr>
          <w:sz w:val="18"/>
          <w:szCs w:val="18"/>
        </w:rPr>
        <w:t>PoP Certificate</w:t>
      </w:r>
      <w:bookmarkEnd w:id="46"/>
    </w:p>
    <w:p w14:paraId="5716EC42" w14:textId="77777777" w:rsidR="002A435B" w:rsidRDefault="002A435B" w:rsidP="001F2162"/>
    <w:p w14:paraId="09C8ACCE" w14:textId="621B4ECD" w:rsidR="0024735D" w:rsidRDefault="005A4459" w:rsidP="001F2162">
      <w:r>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been allocated, the Customer AF initiates the procedure to obtain </w:t>
      </w:r>
      <w:r w:rsidR="00607FBA">
        <w:t>a PoP certificate that it can use as proof that it has authority for those TNs:</w:t>
      </w:r>
    </w:p>
    <w:p w14:paraId="5BAFF416" w14:textId="45BF5F39"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o sign calling TNs.</w:t>
      </w:r>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3A9404D6" w:rsidR="0094683D" w:rsidRDefault="002D60C2" w:rsidP="00380013">
      <w:pPr>
        <w:pStyle w:val="ListParagraph"/>
        <w:numPr>
          <w:ilvl w:val="0"/>
          <w:numId w:val="30"/>
        </w:numPr>
      </w:pPr>
      <w:r>
        <w:t xml:space="preserve">Once </w:t>
      </w:r>
      <w:r w:rsidR="0094683D">
        <w:t>the</w:t>
      </w:r>
      <w:r>
        <w:t xml:space="preserve"> TN</w:t>
      </w:r>
      <w:r w:rsidR="0094683D">
        <w:t xml:space="preserve"> P</w:t>
      </w:r>
      <w:r>
        <w:t xml:space="preserve">rovider </w:t>
      </w:r>
      <w:r w:rsidR="0094683D">
        <w:t>has verified</w:t>
      </w:r>
      <w:r>
        <w:t xml:space="preserve"> that the received request is valid (e.g., requested scope does not exceed delegated set of TNs), then the TN Provider requests a PoP ce</w:t>
      </w:r>
      <w:r w:rsidR="0094683D">
        <w:t>rtificate from the STI-CA</w:t>
      </w:r>
      <w:r w:rsidR="00741138">
        <w:t xml:space="preserve">, following the normal procedures defined by SHAKEN Certificate Management. </w:t>
      </w:r>
    </w:p>
    <w:p w14:paraId="1EDAABDA" w14:textId="77777777" w:rsidR="0094683D" w:rsidRDefault="002D60C2" w:rsidP="00380013">
      <w:pPr>
        <w:pStyle w:val="ListParagraph"/>
        <w:numPr>
          <w:ilvl w:val="0"/>
          <w:numId w:val="30"/>
        </w:numPr>
      </w:pPr>
      <w:r>
        <w:t xml:space="preserve">The STI-CA generates a PoP certificate that chains to one of the CA’s root certificates, and returns it to the TN Provider at (4). </w:t>
      </w:r>
    </w:p>
    <w:p w14:paraId="2ECA09AE" w14:textId="0CA36F9F" w:rsidR="00C14997" w:rsidRDefault="00C14997" w:rsidP="00A74CE4">
      <w:pPr>
        <w:pStyle w:val="ListParagraph"/>
        <w:numPr>
          <w:ilvl w:val="0"/>
          <w:numId w:val="30"/>
        </w:numPr>
      </w:pPr>
      <w:r>
        <w:t xml:space="preserve">The TN Provider stores the PoP certificate in its STI-CR </w:t>
      </w:r>
      <w:r w:rsidR="00C63FD8">
        <w:t xml:space="preserve">in order </w:t>
      </w:r>
      <w:r>
        <w:t>to make it available to remote verification services.</w:t>
      </w:r>
    </w:p>
    <w:p w14:paraId="3FF26428" w14:textId="6EFDECF8" w:rsidR="00A74CE4" w:rsidRDefault="002D60C2" w:rsidP="00A74CE4">
      <w:pPr>
        <w:pStyle w:val="ListParagraph"/>
        <w:numPr>
          <w:ilvl w:val="0"/>
          <w:numId w:val="30"/>
        </w:numPr>
      </w:pPr>
      <w:r>
        <w:t>The TN Provider delivers the PoP certi</w:t>
      </w:r>
      <w:r w:rsidR="0094683D">
        <w:t>ficate to the Customer AF</w:t>
      </w:r>
      <w:r>
        <w:t>.</w:t>
      </w:r>
    </w:p>
    <w:p w14:paraId="7E0F626E" w14:textId="77777777" w:rsidR="00A74CE4" w:rsidRDefault="00A74CE4"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7596685D" w:rsidR="00A74CE4" w:rsidRDefault="00441D27" w:rsidP="00F04212">
      <w:pPr>
        <w:jc w:val="center"/>
      </w:pPr>
      <w:r w:rsidRPr="00441D27">
        <w:rPr>
          <w:noProof/>
        </w:rPr>
        <w:lastRenderedPageBreak/>
        <w:drawing>
          <wp:inline distT="0" distB="0" distL="0" distR="0" wp14:anchorId="640F7996" wp14:editId="4D417636">
            <wp:extent cx="5589643" cy="4203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0038" cy="4203362"/>
                    </a:xfrm>
                    <a:prstGeom prst="rect">
                      <a:avLst/>
                    </a:prstGeom>
                    <a:noFill/>
                    <a:ln>
                      <a:noFill/>
                    </a:ln>
                  </pic:spPr>
                </pic:pic>
              </a:graphicData>
            </a:graphic>
          </wp:inline>
        </w:drawing>
      </w:r>
    </w:p>
    <w:p w14:paraId="5D9D7EC0" w14:textId="2E20BDC1" w:rsidR="00A74CE4" w:rsidRPr="00DB638F" w:rsidRDefault="00A74CE4" w:rsidP="00A74CE4">
      <w:pPr>
        <w:pStyle w:val="Caption"/>
        <w:rPr>
          <w:sz w:val="18"/>
          <w:szCs w:val="18"/>
        </w:rPr>
      </w:pPr>
      <w:bookmarkStart w:id="47" w:name="_Ref372460243"/>
      <w:bookmarkStart w:id="48" w:name="_Toc37409088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47"/>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48"/>
    </w:p>
    <w:p w14:paraId="46015936" w14:textId="5E0761C1"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r w:rsidR="00F04212">
        <w:t>PASSporT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includes the PoP PASSporT token a</w:t>
      </w:r>
      <w:r w:rsidR="004552DE">
        <w:t>nd the PoP certificate URL in a new</w:t>
      </w:r>
      <w:r w:rsidR="000833A0">
        <w:t xml:space="preserve"> Identity header.</w:t>
      </w:r>
    </w:p>
    <w:p w14:paraId="18366E9A" w14:textId="4D85C374"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in the originating INVITE </w:t>
      </w:r>
      <w:r w:rsidR="00F04212">
        <w:t>to the originating SP.</w:t>
      </w:r>
      <w:r w:rsidR="00EF3FB0">
        <w:t xml:space="preserve"> </w:t>
      </w:r>
    </w:p>
    <w:p w14:paraId="484A2D3E" w14:textId="56C54BBB" w:rsidR="002017DF" w:rsidRPr="00FF7B66" w:rsidRDefault="007047C0" w:rsidP="00FF7B66">
      <w:pPr>
        <w:pStyle w:val="ListParagraph"/>
        <w:numPr>
          <w:ilvl w:val="0"/>
          <w:numId w:val="37"/>
        </w:numPr>
      </w:pPr>
      <w:r>
        <w:t>T</w:t>
      </w:r>
      <w:r w:rsidR="00F04212">
        <w:t xml:space="preserve">he originating SP </w:t>
      </w:r>
      <w:r w:rsidR="00863470">
        <w:t xml:space="preserve">Call Control </w:t>
      </w:r>
      <w:r>
        <w:t xml:space="preserve">forwards the </w:t>
      </w:r>
      <w:r w:rsidR="00D305CE">
        <w:t xml:space="preserve">INVITE, including the PoP Identity header, </w:t>
      </w:r>
      <w:r w:rsidR="00670A5F">
        <w:t xml:space="preserve">to </w:t>
      </w:r>
      <w:r>
        <w:t>the terminating SP serving TN-x</w:t>
      </w:r>
      <w:r w:rsidR="004A08BE">
        <w:t>,</w:t>
      </w:r>
      <w:r w:rsidR="00693011">
        <w:t xml:space="preserve"> following normal SIP routing procedures</w:t>
      </w:r>
      <w:r>
        <w:t xml:space="preserve">. </w:t>
      </w:r>
      <w:r w:rsidR="00AF1E11">
        <w:t>The ori</w:t>
      </w:r>
      <w:r w:rsidR="00D305CE">
        <w:t>ginating SP may choose to add a second</w:t>
      </w:r>
      <w:r w:rsidR="00AF1E11">
        <w:t xml:space="preserve"> </w:t>
      </w:r>
      <w:r w:rsidR="00D305CE">
        <w:t xml:space="preserve">SHAKEN Identity header </w:t>
      </w:r>
      <w:r w:rsidR="0075355F">
        <w:t xml:space="preserve">(not shown) </w:t>
      </w:r>
      <w:r w:rsidR="00D305CE">
        <w:t xml:space="preserve">with </w:t>
      </w:r>
      <w:r w:rsidR="0075355F">
        <w:t>“partial” attestation</w:t>
      </w:r>
      <w:r w:rsidR="004A08BE">
        <w:t xml:space="preserve"> (“partial” because the SP does not own the calling TN)</w:t>
      </w:r>
      <w:r w:rsidR="00693011">
        <w:t xml:space="preserve">. The value of this second Identity header is </w:t>
      </w:r>
      <w:r w:rsidR="003E0009">
        <w:t xml:space="preserve">somewhat </w:t>
      </w:r>
      <w:r w:rsidR="00693011">
        <w:t>limited; basically, it enables the originating SP to r</w:t>
      </w:r>
      <w:r w:rsidR="003E0009">
        <w:t>ecord an “origid”</w:t>
      </w:r>
      <w:r w:rsidR="00693011">
        <w:t xml:space="preserve"> claim that identifies the </w:t>
      </w:r>
      <w:r w:rsidR="003E0009">
        <w:t xml:space="preserve">ingress point point used by the originating </w:t>
      </w:r>
      <w:r w:rsidR="00693011">
        <w:t xml:space="preserve">Customer AF. </w:t>
      </w:r>
    </w:p>
    <w:p w14:paraId="451BF2A0" w14:textId="77777777" w:rsidR="00A70F65" w:rsidRDefault="00863470" w:rsidP="00AD7E95">
      <w:pPr>
        <w:pStyle w:val="ListParagraph"/>
        <w:numPr>
          <w:ilvl w:val="0"/>
          <w:numId w:val="37"/>
        </w:numPr>
      </w:pPr>
      <w:r>
        <w:t xml:space="preserve">The terminating SP Call Control invokes the STI-VS to perform verification services for the received INVITE. </w:t>
      </w:r>
    </w:p>
    <w:p w14:paraId="1BFCABB0" w14:textId="340040BB" w:rsidR="004552DE" w:rsidRDefault="00670A5F" w:rsidP="00AD7E95">
      <w:pPr>
        <w:pStyle w:val="ListParagraph"/>
        <w:numPr>
          <w:ilvl w:val="0"/>
          <w:numId w:val="37"/>
        </w:numPr>
      </w:pPr>
      <w:r>
        <w:t xml:space="preserve">The STI-VS </w:t>
      </w:r>
      <w:r w:rsidR="008C698D">
        <w:t xml:space="preserve">first fetches the PoP certificate </w:t>
      </w:r>
      <w:r w:rsidR="00AB3F85">
        <w:t xml:space="preserve">from the TN Provider </w:t>
      </w:r>
      <w:r w:rsidR="008C698D">
        <w:t xml:space="preserve">using the received </w:t>
      </w:r>
      <w:r w:rsidR="00863470">
        <w:t xml:space="preserve">PoP </w:t>
      </w:r>
      <w:r w:rsidR="008C698D">
        <w:t xml:space="preserve">certificate URL. </w:t>
      </w:r>
      <w:r w:rsidR="00AB3F85">
        <w:t>It then verifie</w:t>
      </w:r>
      <w:r w:rsidR="00A70F65">
        <w:t xml:space="preserve">s the received Identity header; </w:t>
      </w:r>
      <w:r w:rsidR="00AB3F85">
        <w:t xml:space="preserve">e.g., checks that the PoP certificate chains to an authorized STI-CA, verifies that the PASSporT signature using the public </w:t>
      </w:r>
      <w:r w:rsidR="00863470">
        <w:t xml:space="preserve">key of the PoP certificate, and </w:t>
      </w:r>
      <w:r w:rsidR="004552DE">
        <w:t xml:space="preserve">verifies that the calling TN is </w:t>
      </w:r>
      <w:r w:rsidR="00863470">
        <w:t>within the scope of a</w:t>
      </w:r>
      <w:r w:rsidR="00A70F65">
        <w:t>uthority of the PoP certificate</w:t>
      </w:r>
      <w:r w:rsidR="004A08BE">
        <w:t>.</w:t>
      </w:r>
    </w:p>
    <w:p w14:paraId="3CC85511" w14:textId="3CB36B55" w:rsidR="00A74CE4" w:rsidRDefault="007E76DB" w:rsidP="00A74CE4">
      <w:pPr>
        <w:pStyle w:val="ListParagraph"/>
        <w:numPr>
          <w:ilvl w:val="0"/>
          <w:numId w:val="37"/>
        </w:numPr>
      </w:pPr>
      <w:r>
        <w:t xml:space="preserve">The Terminating SP </w:t>
      </w:r>
      <w:r w:rsidR="005E0B23">
        <w:t xml:space="preserve">updates the Verstat parameter to indicate that the calling TN has been verified, and </w:t>
      </w:r>
      <w:r>
        <w:t>sends the INVITE to the calle</w:t>
      </w:r>
      <w:r w:rsidR="004A08BE">
        <w:t>d endpoint registered for called TN-x</w:t>
      </w:r>
      <w:r w:rsidR="005E0B23">
        <w:t>.</w:t>
      </w:r>
    </w:p>
    <w:p w14:paraId="6C744EF4" w14:textId="77777777" w:rsidR="00A74CE4" w:rsidRDefault="00A74CE4" w:rsidP="00A74CE4"/>
    <w:p w14:paraId="3AC1256C" w14:textId="3AA7571D" w:rsidR="00EB79BB" w:rsidRDefault="00EB79BB" w:rsidP="00EB79BB">
      <w:pPr>
        <w:pStyle w:val="Heading1"/>
      </w:pPr>
      <w:r>
        <w:br w:type="page"/>
      </w:r>
      <w:bookmarkStart w:id="49" w:name="_Toc374108889"/>
      <w:r>
        <w:lastRenderedPageBreak/>
        <w:t>TN Proof-of-Possession Architecture</w:t>
      </w:r>
      <w:bookmarkEnd w:id="49"/>
    </w:p>
    <w:p w14:paraId="53B747E2" w14:textId="4AB3431F" w:rsidR="00BE3871" w:rsidRDefault="00EB79BB" w:rsidP="00EB79BB">
      <w:r>
        <w:fldChar w:fldCharType="begin"/>
      </w:r>
      <w:r>
        <w:instrText xml:space="preserve"> REF _Ref371627660 \h </w:instrText>
      </w:r>
      <w:r>
        <w:fldChar w:fldCharType="separate"/>
      </w:r>
      <w:r w:rsidRPr="00DB638F">
        <w:rPr>
          <w:sz w:val="18"/>
          <w:szCs w:val="18"/>
        </w:rPr>
        <w:t xml:space="preserve">Figure </w:t>
      </w:r>
      <w:r>
        <w:rPr>
          <w:noProof/>
          <w:sz w:val="18"/>
          <w:szCs w:val="18"/>
        </w:rPr>
        <w:t>2</w:t>
      </w:r>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plays a role similar to the Service Provider defined by </w:t>
      </w:r>
      <w:r w:rsidR="00D95C98">
        <w:t>SHAKEN, using the ACME protocol to obtain certificates from the STI CA. Since the Customer AF is not an STI-authorized entity</w:t>
      </w:r>
      <w:r w:rsidR="00282463">
        <w:t xml:space="preserve"> however</w:t>
      </w:r>
      <w:r w:rsidR="00D95C98">
        <w:t xml:space="preserve">, it cannot talk to the STI-CA directly, but must work through the TN Provider that provided it with its set of TNs. The Telephone Provider </w:t>
      </w:r>
      <w:r w:rsidR="00282463">
        <w:t xml:space="preserve">therefore </w:t>
      </w:r>
      <w:r w:rsidR="00D95C98">
        <w:t>acts as a proxy between the Customer AF and the STI-CA.</w:t>
      </w:r>
    </w:p>
    <w:p w14:paraId="36F3F35A" w14:textId="5A22EA08" w:rsidR="00E7130A" w:rsidRDefault="00BE3871" w:rsidP="00EB79BB">
      <w:r>
        <w:t xml:space="preserve"> </w:t>
      </w:r>
    </w:p>
    <w:p w14:paraId="69B21F14" w14:textId="313A11A3" w:rsidR="00E7130A" w:rsidRDefault="00ED6D79" w:rsidP="00FE35D2">
      <w:pPr>
        <w:jc w:val="center"/>
      </w:pPr>
      <w:r w:rsidRPr="00ED6D79">
        <w:rPr>
          <w:noProof/>
        </w:rPr>
        <w:drawing>
          <wp:inline distT="0" distB="0" distL="0" distR="0" wp14:anchorId="293C1B75" wp14:editId="4EE89BE7">
            <wp:extent cx="5547631" cy="36897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7868" cy="3689931"/>
                    </a:xfrm>
                    <a:prstGeom prst="rect">
                      <a:avLst/>
                    </a:prstGeom>
                    <a:noFill/>
                    <a:ln>
                      <a:noFill/>
                    </a:ln>
                  </pic:spPr>
                </pic:pic>
              </a:graphicData>
            </a:graphic>
          </wp:inline>
        </w:drawing>
      </w:r>
    </w:p>
    <w:p w14:paraId="715F2398" w14:textId="77777777" w:rsidR="00E7130A" w:rsidRPr="00DB638F" w:rsidRDefault="00E7130A" w:rsidP="00E7130A">
      <w:pPr>
        <w:pStyle w:val="Caption"/>
        <w:rPr>
          <w:sz w:val="18"/>
          <w:szCs w:val="18"/>
        </w:rPr>
      </w:pPr>
      <w:bookmarkStart w:id="50" w:name="_Ref371627660"/>
      <w:bookmarkStart w:id="51" w:name="_Toc37409088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6E38A0">
        <w:rPr>
          <w:noProof/>
          <w:sz w:val="18"/>
          <w:szCs w:val="18"/>
        </w:rPr>
        <w:t>3</w:t>
      </w:r>
      <w:r w:rsidRPr="00DB638F">
        <w:rPr>
          <w:noProof/>
          <w:sz w:val="18"/>
          <w:szCs w:val="18"/>
        </w:rPr>
        <w:fldChar w:fldCharType="end"/>
      </w:r>
      <w:bookmarkEnd w:id="50"/>
      <w:r>
        <w:rPr>
          <w:sz w:val="18"/>
          <w:szCs w:val="18"/>
        </w:rPr>
        <w:t>. SHAKEN Architec</w:t>
      </w:r>
      <w:r w:rsidR="00662ED4">
        <w:rPr>
          <w:sz w:val="18"/>
          <w:szCs w:val="18"/>
        </w:rPr>
        <w:t>ture to support Management of PoP Certificate</w:t>
      </w:r>
      <w:bookmarkEnd w:id="51"/>
    </w:p>
    <w:p w14:paraId="69E57C8C" w14:textId="77777777" w:rsidR="00E7130A" w:rsidRDefault="00E7130A" w:rsidP="001F2162"/>
    <w:p w14:paraId="1313F426" w14:textId="1F01152F"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the new functional entities are added to the SHAKEN architecture to support the management of PoP certificates:</w:t>
      </w:r>
    </w:p>
    <w:p w14:paraId="2BE07F5A" w14:textId="77777777" w:rsidR="00581B26" w:rsidRDefault="00037C8B" w:rsidP="001F2162">
      <w:r>
        <w:t>Customer Application Function</w:t>
      </w:r>
      <w:r w:rsidR="00581B26">
        <w:t xml:space="preserve"> entities: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6B767133" w:rsidR="00282463" w:rsidRDefault="00282463" w:rsidP="00037C8B">
      <w:pPr>
        <w:pStyle w:val="ListParagraph"/>
        <w:numPr>
          <w:ilvl w:val="0"/>
          <w:numId w:val="41"/>
        </w:numPr>
      </w:pPr>
      <w:r>
        <w:t>PoP-AS – the function that authenticates the calling TN using a PoP certificate and its private key</w:t>
      </w:r>
    </w:p>
    <w:p w14:paraId="226DDAFA" w14:textId="10A6F5C2" w:rsidR="00282463" w:rsidRDefault="00282463" w:rsidP="00037C8B">
      <w:pPr>
        <w:pStyle w:val="ListParagraph"/>
        <w:numPr>
          <w:ilvl w:val="0"/>
          <w:numId w:val="41"/>
        </w:numPr>
      </w:pPr>
      <w:r>
        <w:t>CAF-KMS – plays a role similar to the SP-KMS</w:t>
      </w:r>
    </w:p>
    <w:p w14:paraId="19A2ABD6" w14:textId="2D1E9E16" w:rsidR="00282463" w:rsidRDefault="00D60F86" w:rsidP="00282463">
      <w:r>
        <w:t>Tel</w:t>
      </w:r>
      <w:r w:rsidR="00581B26">
        <w:t>ephone Number Provider entities:</w:t>
      </w:r>
    </w:p>
    <w:p w14:paraId="308A7D9E" w14:textId="2B52118F" w:rsidR="00D60F86" w:rsidRDefault="00D60F86" w:rsidP="00D60F86">
      <w:pPr>
        <w:pStyle w:val="ListParagraph"/>
        <w:numPr>
          <w:ilvl w:val="0"/>
          <w:numId w:val="42"/>
        </w:numPr>
      </w:pPr>
      <w:r>
        <w:t xml:space="preserve">ACME Proxy – acts as an interworking function between the CAF-KMS and the STI-CA. From the perspective of the CAF-KMS, the ACME Proxy appears as a CA to the CAF-KMS, and as SHAKEN-compliant </w:t>
      </w:r>
      <w:r w:rsidR="00581B26">
        <w:t>SP-KMS to the STI-PA and STI-PA.</w:t>
      </w:r>
    </w:p>
    <w:p w14:paraId="7F8A126B" w14:textId="77777777" w:rsidR="00E7130A" w:rsidRDefault="00E7130A" w:rsidP="001F2162"/>
    <w:p w14:paraId="6EF1910C" w14:textId="77777777" w:rsidR="00E7130A" w:rsidRDefault="00E7130A" w:rsidP="00E7130A">
      <w:pPr>
        <w:pStyle w:val="Heading2"/>
      </w:pPr>
      <w:r>
        <w:br w:type="page"/>
      </w:r>
      <w:bookmarkStart w:id="52" w:name="_Toc374108890"/>
      <w:r>
        <w:lastRenderedPageBreak/>
        <w:t xml:space="preserve">TN Proof-of-Possession </w:t>
      </w:r>
      <w:r w:rsidR="00662ED4">
        <w:t xml:space="preserve">Cert Management </w:t>
      </w:r>
      <w:r>
        <w:t>Message Flow</w:t>
      </w:r>
      <w:bookmarkEnd w:id="52"/>
    </w:p>
    <w:p w14:paraId="7DF4F2DB" w14:textId="4A0DEB88" w:rsidR="00C035BB" w:rsidRDefault="00643E7F" w:rsidP="00C035BB">
      <w:r>
        <w:fldChar w:fldCharType="begin"/>
      </w:r>
      <w:r>
        <w:instrText xml:space="preserve"> REF _Ref371599233 \h </w:instrText>
      </w:r>
      <w:r>
        <w:fldChar w:fldCharType="separate"/>
      </w:r>
      <w:r w:rsidRPr="00DB638F">
        <w:rPr>
          <w:sz w:val="18"/>
          <w:szCs w:val="18"/>
        </w:rPr>
        <w:t xml:space="preserve">Figure </w:t>
      </w:r>
      <w:r>
        <w:rPr>
          <w:noProof/>
          <w:sz w:val="18"/>
          <w:szCs w:val="18"/>
        </w:rPr>
        <w:t>4</w:t>
      </w:r>
      <w:r>
        <w:fldChar w:fldCharType="end"/>
      </w:r>
      <w:r>
        <w:t xml:space="preserve"> shows the message flow to obtain a PoP certificate. </w:t>
      </w:r>
    </w:p>
    <w:p w14:paraId="1B76E013" w14:textId="2C1CCCEE" w:rsidR="000C1F90" w:rsidRDefault="000C1F90" w:rsidP="00C035BB">
      <w:pPr>
        <w:rPr>
          <w:i/>
        </w:rPr>
      </w:pPr>
      <w:r>
        <w:rPr>
          <w:i/>
        </w:rPr>
        <w:t>Note – this section c</w:t>
      </w:r>
      <w:r w:rsidR="003D5B82">
        <w:rPr>
          <w:i/>
        </w:rPr>
        <w:t xml:space="preserve">ontains a number of open issues </w:t>
      </w:r>
      <w:r w:rsidR="004376CC">
        <w:rPr>
          <w:i/>
        </w:rPr>
        <w:t xml:space="preserve">– mostly </w:t>
      </w:r>
      <w:r w:rsidR="003D5B82">
        <w:rPr>
          <w:i/>
        </w:rPr>
        <w:t>related to</w:t>
      </w:r>
      <w:r w:rsidR="00C04DA3">
        <w:rPr>
          <w:i/>
        </w:rPr>
        <w:t xml:space="preserve"> how can</w:t>
      </w:r>
      <w:r w:rsidR="004376CC">
        <w:rPr>
          <w:i/>
        </w:rPr>
        <w:t xml:space="preserve"> we take </w:t>
      </w:r>
      <w:r w:rsidR="003D5B82">
        <w:rPr>
          <w:i/>
        </w:rPr>
        <w:t>advantage of the close relationship between T</w:t>
      </w:r>
      <w:r w:rsidR="00ED6D79">
        <w:rPr>
          <w:i/>
        </w:rPr>
        <w:t>N Provider and Customer AF to s</w:t>
      </w:r>
      <w:r w:rsidR="003D5B82">
        <w:rPr>
          <w:i/>
        </w:rPr>
        <w:t xml:space="preserve">implify the </w:t>
      </w:r>
      <w:r w:rsidR="00C04DA3">
        <w:rPr>
          <w:i/>
        </w:rPr>
        <w:t xml:space="preserve">ACME </w:t>
      </w:r>
      <w:r w:rsidR="003D5B82">
        <w:rPr>
          <w:i/>
        </w:rPr>
        <w:t>procedure (and therefore encourage adoption). For example, how does the ACME Proxy authenticate the Customer AF?</w:t>
      </w:r>
    </w:p>
    <w:p w14:paraId="44567511" w14:textId="77777777" w:rsidR="00E7130A" w:rsidRDefault="00E7130A" w:rsidP="001F2162"/>
    <w:p w14:paraId="43D5E2D2" w14:textId="67D134FD" w:rsidR="00FE03C6" w:rsidRDefault="00C845CF" w:rsidP="003B52BE">
      <w:pPr>
        <w:jc w:val="center"/>
      </w:pPr>
      <w:r w:rsidRPr="00C845CF">
        <w:rPr>
          <w:noProof/>
        </w:rPr>
        <w:drawing>
          <wp:inline distT="0" distB="0" distL="0" distR="0" wp14:anchorId="5A5E7753" wp14:editId="0A97782A">
            <wp:extent cx="3966839" cy="357697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6844" cy="3576983"/>
                    </a:xfrm>
                    <a:prstGeom prst="rect">
                      <a:avLst/>
                    </a:prstGeom>
                    <a:noFill/>
                    <a:ln>
                      <a:noFill/>
                    </a:ln>
                  </pic:spPr>
                </pic:pic>
              </a:graphicData>
            </a:graphic>
          </wp:inline>
        </w:drawing>
      </w:r>
    </w:p>
    <w:p w14:paraId="7F6B5D5D" w14:textId="77777777" w:rsidR="00B24A3A" w:rsidRPr="00DB638F" w:rsidRDefault="00B24A3A" w:rsidP="00B24A3A">
      <w:pPr>
        <w:pStyle w:val="Caption"/>
        <w:rPr>
          <w:sz w:val="18"/>
          <w:szCs w:val="18"/>
        </w:rPr>
      </w:pPr>
      <w:bookmarkStart w:id="53" w:name="_Ref371599233"/>
      <w:bookmarkStart w:id="54" w:name="_Toc37409088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B14757">
        <w:rPr>
          <w:noProof/>
          <w:sz w:val="18"/>
          <w:szCs w:val="18"/>
        </w:rPr>
        <w:t>4</w:t>
      </w:r>
      <w:r w:rsidRPr="00DB638F">
        <w:rPr>
          <w:noProof/>
          <w:sz w:val="18"/>
          <w:szCs w:val="18"/>
        </w:rPr>
        <w:fldChar w:fldCharType="end"/>
      </w:r>
      <w:bookmarkEnd w:id="53"/>
      <w:r>
        <w:rPr>
          <w:sz w:val="18"/>
          <w:szCs w:val="18"/>
        </w:rPr>
        <w:t>. Procedure to obtain PoP certificate</w:t>
      </w:r>
      <w:bookmarkEnd w:id="54"/>
    </w:p>
    <w:p w14:paraId="54E9B923" w14:textId="0E000388" w:rsidR="00B24A3A" w:rsidRPr="007037DF" w:rsidRDefault="00474E5F" w:rsidP="00B24A3A">
      <w:r>
        <w:t xml:space="preserve">This procedure assumes that the TN Provider has </w:t>
      </w:r>
      <w:r w:rsidR="00C845CF">
        <w:t xml:space="preserve">already </w:t>
      </w:r>
      <w:r>
        <w:t xml:space="preserve">obtained a valid SPC token from the STI-PA, and </w:t>
      </w:r>
      <w:r w:rsidR="00C845CF">
        <w:t xml:space="preserve">has </w:t>
      </w:r>
      <w:r>
        <w:t xml:space="preserve">created an ACME account with the STI-CA. </w:t>
      </w:r>
      <w:r w:rsidR="00B24A3A">
        <w:t xml:space="preserve">At service turn-up time, the </w:t>
      </w:r>
      <w:r w:rsidR="00B14757">
        <w:t>Customer AF obtains a s</w:t>
      </w:r>
      <w:r w:rsidR="00BE1750">
        <w:t xml:space="preserve">et of TNs from the TN Provider. The TN Provider also provides the Customer AF with the </w:t>
      </w:r>
      <w:r w:rsidR="00B92DC3">
        <w:t>i</w:t>
      </w:r>
      <w:r w:rsidR="00B24A3A">
        <w:t>nformation it needs to obt</w:t>
      </w:r>
      <w:r w:rsidR="003C496F">
        <w:t xml:space="preserve">ain a PoP </w:t>
      </w:r>
      <w:r w:rsidR="00411C80">
        <w:t>certificate covering th</w:t>
      </w:r>
      <w:r w:rsidR="00BE1750">
        <w:t>ose TNs, including</w:t>
      </w:r>
      <w:r w:rsidR="00EE3A0D">
        <w:t xml:space="preserve"> </w:t>
      </w:r>
      <w:r w:rsidR="00BE1750">
        <w:t>the ACME credentials it will need to obtain a</w:t>
      </w:r>
      <w:r w:rsidR="00B92DC3">
        <w:t xml:space="preserve"> PoP </w:t>
      </w:r>
      <w:r w:rsidR="00BE1750">
        <w:t>certificate</w:t>
      </w:r>
      <w:r w:rsidR="00EE3A0D">
        <w:t>, and a URL to the ACME directory resource</w:t>
      </w:r>
      <w:r w:rsidR="00BE1750">
        <w:t xml:space="preserve">. </w:t>
      </w:r>
      <w:r w:rsidR="00C035BB">
        <w:t xml:space="preserve">The Customer </w:t>
      </w:r>
      <w:r w:rsidR="00B92DC3">
        <w:t xml:space="preserve">AF queries the ACME directory resource to obtain the other </w:t>
      </w:r>
      <w:r w:rsidR="00C035BB">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6C35DD9B"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w:t>
      </w:r>
      <w:r w:rsidR="00D73D96">
        <w:t xml:space="preserve"> (i.e., to the ACME Proxy)</w:t>
      </w:r>
      <w:r w:rsidR="003924D4">
        <w:t>. The new account is identified by the account</w:t>
      </w:r>
      <w:r w:rsidR="004B3EFA">
        <w:t>’s</w:t>
      </w:r>
      <w:r w:rsidR="003924D4">
        <w:t xml:space="preserve"> public</w:t>
      </w:r>
      <w:r w:rsidR="00D73D96">
        <w:t xml:space="preserve"> key. </w:t>
      </w:r>
      <w:r w:rsidR="00E76954">
        <w:t>The ACME Proxy creates i</w:t>
      </w:r>
      <w:r w:rsidR="000179DC">
        <w:t xml:space="preserve">ts local version of the account, and returns an </w:t>
      </w:r>
      <w:r w:rsidR="00C845CF">
        <w:t xml:space="preserve">ACME </w:t>
      </w:r>
      <w:r w:rsidR="000179DC">
        <w:t>“account created” response to the CAF-KMS.</w:t>
      </w:r>
    </w:p>
    <w:p w14:paraId="01FE3755" w14:textId="3B0599CE" w:rsidR="00AA1A42" w:rsidRPr="00AA1A42" w:rsidRDefault="00AA1A42" w:rsidP="00AA1A42">
      <w:pPr>
        <w:ind w:left="720"/>
        <w:rPr>
          <w:i/>
        </w:rPr>
      </w:pPr>
      <w:r>
        <w:rPr>
          <w:i/>
        </w:rPr>
        <w:t>Question – can we simplify the account creation process for the CAF-KMS; e.g., have the ACME Proxy generate the account key pair and provide it to the CAF-KMS (would provide a kind of “shared-secret” authentication), or have the ACME Proxy create the account on behalf of the CAF-KMS?</w:t>
      </w:r>
    </w:p>
    <w:p w14:paraId="43EF261E" w14:textId="78FEE36E" w:rsidR="00C373AB" w:rsidRDefault="00D73D96" w:rsidP="00380013">
      <w:pPr>
        <w:numPr>
          <w:ilvl w:val="0"/>
          <w:numId w:val="26"/>
        </w:numPr>
      </w:pPr>
      <w:r>
        <w:t xml:space="preserve">The </w:t>
      </w:r>
      <w:r w:rsidR="00053AC6">
        <w:t>CAF-KMS requests a new PoP certificate using the new-order URL</w:t>
      </w:r>
      <w:r w:rsidR="00C845CF">
        <w:t xml:space="preserve"> identified by the directory resource</w:t>
      </w:r>
      <w:r w:rsidR="00053AC6">
        <w:t xml:space="preserve">. The </w:t>
      </w:r>
      <w:r w:rsidR="001166AE">
        <w:t xml:space="preserve">CSR in the request </w:t>
      </w:r>
      <w:r w:rsidR="00053AC6">
        <w:t>contains</w:t>
      </w:r>
      <w:r w:rsidR="00643E7F">
        <w:t xml:space="preserve"> the public key generated in step-1</w:t>
      </w:r>
      <w:r w:rsidR="00053AC6">
        <w:t>, and the list of delegated TNs.</w:t>
      </w:r>
      <w:r w:rsidR="00563583">
        <w:t xml:space="preserve"> The ACME Proxy returns a challenge to the </w:t>
      </w:r>
      <w:r w:rsidR="00400FFE">
        <w:t xml:space="preserve">CAF-KMS. </w:t>
      </w:r>
    </w:p>
    <w:p w14:paraId="3BD35475" w14:textId="57E6357A" w:rsidR="00053AC6" w:rsidRDefault="00C373AB" w:rsidP="00C373AB">
      <w:pPr>
        <w:ind w:left="720"/>
      </w:pPr>
      <w:r>
        <w:rPr>
          <w:i/>
        </w:rPr>
        <w:t>Open issue</w:t>
      </w:r>
      <w:r w:rsidR="00400FFE" w:rsidRPr="00400FFE">
        <w:rPr>
          <w:i/>
        </w:rPr>
        <w:t xml:space="preserve"> – what Identity challenge is this (in the context of the ACME draft</w:t>
      </w:r>
      <w:r>
        <w:rPr>
          <w:i/>
        </w:rPr>
        <w:t>)</w:t>
      </w:r>
      <w:r w:rsidR="00400FFE" w:rsidRPr="00400FFE">
        <w:rPr>
          <w:i/>
        </w:rPr>
        <w:t>?</w:t>
      </w:r>
    </w:p>
    <w:p w14:paraId="230C742F" w14:textId="5B0C2473" w:rsidR="00CA1F8E" w:rsidRDefault="00563583" w:rsidP="00380013">
      <w:pPr>
        <w:numPr>
          <w:ilvl w:val="0"/>
          <w:numId w:val="26"/>
        </w:numPr>
      </w:pPr>
      <w:r>
        <w:lastRenderedPageBreak/>
        <w:t xml:space="preserve">The </w:t>
      </w:r>
      <w:r w:rsidR="00CA1F8E">
        <w:t xml:space="preserve">CAF-KMS responds </w:t>
      </w:r>
      <w:r w:rsidR="003D1473">
        <w:t>to the challenge received in step-3</w:t>
      </w:r>
      <w:r w:rsidR="00CA1F8E">
        <w:t xml:space="preserve">. </w:t>
      </w:r>
      <w:r w:rsidR="00EB4FD2">
        <w:t xml:space="preserve">The ACME Proxy </w:t>
      </w:r>
      <w:r w:rsidR="003D1473">
        <w:t>checks</w:t>
      </w:r>
      <w:r w:rsidR="00EB4FD2">
        <w:t xml:space="preserve"> that the challenge</w:t>
      </w:r>
      <w:r w:rsidR="003D1473">
        <w:t xml:space="preserve"> response is valid</w:t>
      </w:r>
      <w:r w:rsidR="00EB4FD2">
        <w:t xml:space="preserve">, and verifies </w:t>
      </w:r>
      <w:r w:rsidR="000179DC">
        <w:t xml:space="preserve">that </w:t>
      </w:r>
      <w:r w:rsidR="00EB4FD2">
        <w:t xml:space="preserve">the Customer AF is authorized to request the </w:t>
      </w:r>
      <w:r w:rsidR="003D1473">
        <w:t xml:space="preserve">PoP certificate attributes specified in the </w:t>
      </w:r>
      <w:r w:rsidR="000179DC">
        <w:t xml:space="preserve">CSR received in step-3 (e.g., verify that the list of TNs has in fact been delegated to the Customer AF). </w:t>
      </w:r>
    </w:p>
    <w:p w14:paraId="33522CEA" w14:textId="2FF72A27" w:rsidR="00507C3B" w:rsidRDefault="00EA3B14" w:rsidP="00380013">
      <w:pPr>
        <w:numPr>
          <w:ilvl w:val="0"/>
          <w:numId w:val="26"/>
        </w:numPr>
      </w:pPr>
      <w:r>
        <w:t xml:space="preserve">The ACME Proxy sends a request for a new PoP certificate to the STI-CA. The request includes the CSR received </w:t>
      </w:r>
      <w:r w:rsidR="000179DC">
        <w:t xml:space="preserve">by the ACME Proxy </w:t>
      </w:r>
      <w:r>
        <w:t>in step-3.</w:t>
      </w:r>
      <w:r w:rsidR="000179DC">
        <w:t xml:space="preserve"> The STI-CA returns a challenge 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07B1E230"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authorization </w:t>
      </w:r>
      <w:r w:rsidR="00A85A94">
        <w:t>resource</w:t>
      </w:r>
      <w:r w:rsidR="003056B0">
        <w:t xml:space="preserve">. </w:t>
      </w:r>
      <w:r w:rsidR="00206A30">
        <w:t xml:space="preserve">When it detects that the authorization </w:t>
      </w:r>
      <w:r w:rsidR="00A85A94">
        <w:t>resource</w:t>
      </w:r>
      <w:r w:rsidR="00206A30">
        <w:t xml:space="preserve"> status has transitioned to “valid”</w:t>
      </w:r>
      <w:r w:rsidR="00043CCA">
        <w:t xml:space="preserve"> (meaning that it has satisfied the challenge</w:t>
      </w:r>
      <w:r w:rsidR="00A85A94">
        <w:t xml:space="preserve"> from step-3</w:t>
      </w:r>
      <w:r w:rsidR="00043CCA">
        <w:t>)</w:t>
      </w:r>
      <w:r w:rsidR="00206A30">
        <w:t xml:space="preserve">, the CAF-KMS starts polling the ACME Proxy new-order resource. </w:t>
      </w:r>
      <w:r w:rsidR="003056B0">
        <w:t>After the ACME Proxy stores the PoP cert</w:t>
      </w:r>
      <w:r w:rsidR="001F73DB">
        <w:t>ificate in the STI-CR in step-7</w:t>
      </w:r>
      <w:r w:rsidR="003056B0">
        <w:t xml:space="preserve">, it </w:t>
      </w:r>
      <w:r w:rsidR="00206A30">
        <w:t xml:space="preserve">sets its new-order resource status to “valid”, and updates the certificate URL to </w:t>
      </w:r>
      <w:r w:rsidR="003835E6">
        <w:t xml:space="preserve">identify </w:t>
      </w:r>
      <w:r w:rsidR="00206A30">
        <w:t xml:space="preserve">the STI-CR file where it has stored the PoP certificate. On detecting that the new-order resource has transitioned to “valid”, the CAF-KMS downloads the certificate using the new-order certificate URL. </w:t>
      </w:r>
      <w:r w:rsidR="00D57B62">
        <w:t xml:space="preserve">This </w:t>
      </w:r>
      <w:r w:rsidR="006F636F">
        <w:t>URL will also be used by the PoP-AS</w:t>
      </w:r>
      <w:r w:rsidR="00D57B62">
        <w:t xml:space="preserve"> to populate </w:t>
      </w:r>
      <w:r w:rsidR="003056B0">
        <w:t>the</w:t>
      </w:r>
      <w:r w:rsidR="00BE641B">
        <w:t xml:space="preserve"> certificate reference in the </w:t>
      </w:r>
      <w:r w:rsidR="003056B0">
        <w:t>Identity header</w:t>
      </w:r>
      <w:r w:rsidR="00D57B62">
        <w:t xml:space="preserve"> field an</w:t>
      </w:r>
      <w:r w:rsidR="00BE641B">
        <w:t>d PoP PASSporT Token</w:t>
      </w:r>
      <w:r w:rsidR="00D57B62">
        <w:t xml:space="preserve"> during PoP authentication.</w:t>
      </w:r>
    </w:p>
    <w:p w14:paraId="52F46C2B" w14:textId="77777777" w:rsidR="00F06EAD" w:rsidRDefault="00F06EAD" w:rsidP="00F06EAD"/>
    <w:p w14:paraId="05E6872A" w14:textId="77777777" w:rsidR="00F06EAD" w:rsidRDefault="00F06EAD" w:rsidP="00F06EAD"/>
    <w:p w14:paraId="17B6855C" w14:textId="77777777" w:rsidR="00CE641C" w:rsidRDefault="00E6723C" w:rsidP="00CE641C">
      <w:pPr>
        <w:spacing w:before="0" w:after="0"/>
        <w:jc w:val="center"/>
      </w:pPr>
      <w:r w:rsidRPr="00CE641C">
        <w:br w:type="page"/>
      </w:r>
    </w:p>
    <w:p w14:paraId="5026CC53" w14:textId="77777777" w:rsidR="001F2162" w:rsidRDefault="001F2162" w:rsidP="00CE641C">
      <w:pPr>
        <w:spacing w:before="0" w:after="0"/>
        <w:jc w:val="center"/>
      </w:pPr>
      <w:r>
        <w:lastRenderedPageBreak/>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55" w:name="_Toc374108891"/>
      <w:r>
        <w:t>A</w:t>
      </w:r>
      <w:r>
        <w:tab/>
        <w:t>Annex Title</w:t>
      </w:r>
      <w:bookmarkEnd w:id="55"/>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504D" w14:textId="77777777" w:rsidR="00A85A94" w:rsidRDefault="00A85A94">
      <w:r>
        <w:separator/>
      </w:r>
    </w:p>
  </w:endnote>
  <w:endnote w:type="continuationSeparator" w:id="0">
    <w:p w14:paraId="0255077D" w14:textId="77777777" w:rsidR="00A85A94" w:rsidRDefault="00A8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77777777" w:rsidR="00A85A94" w:rsidRDefault="00A85A94">
    <w:pPr>
      <w:pStyle w:val="Footer"/>
      <w:jc w:val="center"/>
    </w:pPr>
    <w:r>
      <w:rPr>
        <w:rStyle w:val="PageNumber"/>
      </w:rPr>
      <w:fldChar w:fldCharType="begin"/>
    </w:r>
    <w:r>
      <w:rPr>
        <w:rStyle w:val="PageNumber"/>
      </w:rPr>
      <w:instrText xml:space="preserve"> PAGE </w:instrText>
    </w:r>
    <w:r>
      <w:rPr>
        <w:rStyle w:val="PageNumber"/>
      </w:rPr>
      <w:fldChar w:fldCharType="separate"/>
    </w:r>
    <w:r w:rsidR="00955C3D">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77777777" w:rsidR="00A85A94" w:rsidRDefault="00A85A94">
    <w:pPr>
      <w:pStyle w:val="Footer"/>
      <w:jc w:val="center"/>
    </w:pPr>
    <w:r>
      <w:rPr>
        <w:rStyle w:val="PageNumber"/>
      </w:rPr>
      <w:fldChar w:fldCharType="begin"/>
    </w:r>
    <w:r>
      <w:rPr>
        <w:rStyle w:val="PageNumber"/>
      </w:rPr>
      <w:instrText xml:space="preserve"> PAGE </w:instrText>
    </w:r>
    <w:r>
      <w:rPr>
        <w:rStyle w:val="PageNumber"/>
      </w:rPr>
      <w:fldChar w:fldCharType="separate"/>
    </w:r>
    <w:r w:rsidR="00955C3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5CDA" w14:textId="77777777" w:rsidR="00A85A94" w:rsidRDefault="00A85A94">
      <w:r>
        <w:separator/>
      </w:r>
    </w:p>
  </w:footnote>
  <w:footnote w:type="continuationSeparator" w:id="0">
    <w:p w14:paraId="49AC28F0" w14:textId="77777777" w:rsidR="00A85A94" w:rsidRDefault="00A85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A85A94" w:rsidRDefault="00A85A94"/>
  <w:p w14:paraId="5226A3C4" w14:textId="77777777" w:rsidR="00A85A94" w:rsidRDefault="00A85A9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A85A94" w:rsidRPr="00D82162" w:rsidRDefault="00A85A9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A85A94" w:rsidRDefault="00A85A9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A85A94" w:rsidRPr="00BC47C9" w:rsidRDefault="00A85A9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A85A94" w:rsidRPr="00BC47C9" w:rsidRDefault="00A85A94">
    <w:pPr>
      <w:pStyle w:val="BANNER1"/>
      <w:spacing w:before="120"/>
      <w:rPr>
        <w:rFonts w:ascii="Arial" w:hAnsi="Arial" w:cs="Arial"/>
        <w:sz w:val="24"/>
      </w:rPr>
    </w:pPr>
    <w:r w:rsidRPr="00BC47C9">
      <w:rPr>
        <w:rFonts w:ascii="Arial" w:hAnsi="Arial" w:cs="Arial"/>
        <w:sz w:val="24"/>
      </w:rPr>
      <w:t>ATIS Standard on –</w:t>
    </w:r>
  </w:p>
  <w:p w14:paraId="0C994F55" w14:textId="77777777" w:rsidR="00A85A94" w:rsidRPr="00BC47C9" w:rsidRDefault="00A85A94">
    <w:pPr>
      <w:pStyle w:val="BANNER1"/>
      <w:spacing w:before="120"/>
      <w:rPr>
        <w:rFonts w:ascii="Arial" w:hAnsi="Arial" w:cs="Arial"/>
        <w:sz w:val="24"/>
      </w:rPr>
    </w:pPr>
  </w:p>
  <w:p w14:paraId="70853329" w14:textId="77777777" w:rsidR="00A85A94" w:rsidRPr="00BC47C9" w:rsidRDefault="00A85A94" w:rsidP="007B1197">
    <w:pPr>
      <w:ind w:right="-288"/>
      <w:jc w:val="center"/>
      <w:outlineLvl w:val="0"/>
      <w:rPr>
        <w:rFonts w:cs="Arial"/>
        <w:bCs/>
        <w:iCs/>
        <w:sz w:val="36"/>
      </w:rPr>
    </w:pPr>
    <w:r>
      <w:rPr>
        <w:rFonts w:cs="Arial"/>
        <w:bCs/>
        <w:iCs/>
        <w:sz w:val="36"/>
      </w:rPr>
      <w:t>Telephone Number Proof-of-Possession</w:t>
    </w:r>
  </w:p>
  <w:p w14:paraId="4108B071" w14:textId="77777777" w:rsidR="00A85A94" w:rsidRPr="00BC47C9" w:rsidRDefault="00A85A94">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040AE9"/>
    <w:multiLevelType w:val="hybridMultilevel"/>
    <w:tmpl w:val="597C6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4E171D"/>
    <w:multiLevelType w:val="hybridMultilevel"/>
    <w:tmpl w:val="CF1CFE8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564E1A"/>
    <w:multiLevelType w:val="hybridMultilevel"/>
    <w:tmpl w:val="8A0C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3"/>
  </w:num>
  <w:num w:numId="3">
    <w:abstractNumId w:val="7"/>
  </w:num>
  <w:num w:numId="4">
    <w:abstractNumId w:val="8"/>
  </w:num>
  <w:num w:numId="5">
    <w:abstractNumId w:val="6"/>
  </w:num>
  <w:num w:numId="6">
    <w:abstractNumId w:val="5"/>
  </w:num>
  <w:num w:numId="7">
    <w:abstractNumId w:val="4"/>
  </w:num>
  <w:num w:numId="8">
    <w:abstractNumId w:val="3"/>
  </w:num>
  <w:num w:numId="9">
    <w:abstractNumId w:val="40"/>
  </w:num>
  <w:num w:numId="10">
    <w:abstractNumId w:val="2"/>
  </w:num>
  <w:num w:numId="11">
    <w:abstractNumId w:val="1"/>
  </w:num>
  <w:num w:numId="12">
    <w:abstractNumId w:val="0"/>
  </w:num>
  <w:num w:numId="13">
    <w:abstractNumId w:val="13"/>
  </w:num>
  <w:num w:numId="14">
    <w:abstractNumId w:val="30"/>
  </w:num>
  <w:num w:numId="15">
    <w:abstractNumId w:val="36"/>
  </w:num>
  <w:num w:numId="16">
    <w:abstractNumId w:val="24"/>
  </w:num>
  <w:num w:numId="17">
    <w:abstractNumId w:val="32"/>
  </w:num>
  <w:num w:numId="18">
    <w:abstractNumId w:val="9"/>
  </w:num>
  <w:num w:numId="19">
    <w:abstractNumId w:val="29"/>
  </w:num>
  <w:num w:numId="20">
    <w:abstractNumId w:val="11"/>
  </w:num>
  <w:num w:numId="21">
    <w:abstractNumId w:val="20"/>
  </w:num>
  <w:num w:numId="22">
    <w:abstractNumId w:val="23"/>
  </w:num>
  <w:num w:numId="23">
    <w:abstractNumId w:val="14"/>
  </w:num>
  <w:num w:numId="24">
    <w:abstractNumId w:val="35"/>
  </w:num>
  <w:num w:numId="25">
    <w:abstractNumId w:val="31"/>
  </w:num>
  <w:num w:numId="26">
    <w:abstractNumId w:val="38"/>
  </w:num>
  <w:num w:numId="27">
    <w:abstractNumId w:val="34"/>
  </w:num>
  <w:num w:numId="28">
    <w:abstractNumId w:val="37"/>
  </w:num>
  <w:num w:numId="29">
    <w:abstractNumId w:val="25"/>
  </w:num>
  <w:num w:numId="30">
    <w:abstractNumId w:val="10"/>
  </w:num>
  <w:num w:numId="31">
    <w:abstractNumId w:val="33"/>
  </w:num>
  <w:num w:numId="32">
    <w:abstractNumId w:val="18"/>
  </w:num>
  <w:num w:numId="33">
    <w:abstractNumId w:val="15"/>
  </w:num>
  <w:num w:numId="34">
    <w:abstractNumId w:val="22"/>
  </w:num>
  <w:num w:numId="35">
    <w:abstractNumId w:val="16"/>
  </w:num>
  <w:num w:numId="36">
    <w:abstractNumId w:val="27"/>
  </w:num>
  <w:num w:numId="37">
    <w:abstractNumId w:val="17"/>
  </w:num>
  <w:num w:numId="38">
    <w:abstractNumId w:val="28"/>
  </w:num>
  <w:num w:numId="39">
    <w:abstractNumId w:val="41"/>
  </w:num>
  <w:num w:numId="40">
    <w:abstractNumId w:val="12"/>
  </w:num>
  <w:num w:numId="41">
    <w:abstractNumId w:val="39"/>
  </w:num>
  <w:num w:numId="42">
    <w:abstractNumId w:val="42"/>
  </w:num>
  <w:num w:numId="43">
    <w:abstractNumId w:val="19"/>
  </w:num>
  <w:num w:numId="44">
    <w:abstractNumId w:val="21"/>
  </w:num>
  <w:num w:numId="45">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1548"/>
    <w:rsid w:val="00003B02"/>
    <w:rsid w:val="00004A36"/>
    <w:rsid w:val="0001017B"/>
    <w:rsid w:val="00012A34"/>
    <w:rsid w:val="00013037"/>
    <w:rsid w:val="00013E62"/>
    <w:rsid w:val="00014CC5"/>
    <w:rsid w:val="00016480"/>
    <w:rsid w:val="00017438"/>
    <w:rsid w:val="000179DC"/>
    <w:rsid w:val="00033E62"/>
    <w:rsid w:val="00037C8B"/>
    <w:rsid w:val="00040880"/>
    <w:rsid w:val="00043CCA"/>
    <w:rsid w:val="000458E5"/>
    <w:rsid w:val="00046AA9"/>
    <w:rsid w:val="00051121"/>
    <w:rsid w:val="000536D7"/>
    <w:rsid w:val="00053AC6"/>
    <w:rsid w:val="00060F4C"/>
    <w:rsid w:val="000623B9"/>
    <w:rsid w:val="0006248D"/>
    <w:rsid w:val="00073E82"/>
    <w:rsid w:val="0008101E"/>
    <w:rsid w:val="000833A0"/>
    <w:rsid w:val="00096BD0"/>
    <w:rsid w:val="000A573C"/>
    <w:rsid w:val="000B102B"/>
    <w:rsid w:val="000B16EB"/>
    <w:rsid w:val="000C1F90"/>
    <w:rsid w:val="000C3137"/>
    <w:rsid w:val="000C5FFE"/>
    <w:rsid w:val="000D2338"/>
    <w:rsid w:val="000D3738"/>
    <w:rsid w:val="000D3768"/>
    <w:rsid w:val="000D4ED5"/>
    <w:rsid w:val="000E2CD0"/>
    <w:rsid w:val="000E332C"/>
    <w:rsid w:val="000E78E6"/>
    <w:rsid w:val="000F4E9B"/>
    <w:rsid w:val="000F58B9"/>
    <w:rsid w:val="000F7412"/>
    <w:rsid w:val="00103312"/>
    <w:rsid w:val="0011131C"/>
    <w:rsid w:val="001121B7"/>
    <w:rsid w:val="00112A5D"/>
    <w:rsid w:val="00114D60"/>
    <w:rsid w:val="001166AE"/>
    <w:rsid w:val="0012557B"/>
    <w:rsid w:val="001262F9"/>
    <w:rsid w:val="00127F85"/>
    <w:rsid w:val="00130EF9"/>
    <w:rsid w:val="00131045"/>
    <w:rsid w:val="0013137A"/>
    <w:rsid w:val="001332B6"/>
    <w:rsid w:val="001361EF"/>
    <w:rsid w:val="0014086A"/>
    <w:rsid w:val="001434F6"/>
    <w:rsid w:val="00150AD7"/>
    <w:rsid w:val="00152411"/>
    <w:rsid w:val="00152920"/>
    <w:rsid w:val="001530C9"/>
    <w:rsid w:val="00156758"/>
    <w:rsid w:val="0016126C"/>
    <w:rsid w:val="0016563F"/>
    <w:rsid w:val="00172552"/>
    <w:rsid w:val="00176097"/>
    <w:rsid w:val="0018254B"/>
    <w:rsid w:val="00182C1D"/>
    <w:rsid w:val="00186D0D"/>
    <w:rsid w:val="00190EA3"/>
    <w:rsid w:val="00194BD6"/>
    <w:rsid w:val="00196A38"/>
    <w:rsid w:val="001A0C5E"/>
    <w:rsid w:val="001A0CA4"/>
    <w:rsid w:val="001A5B24"/>
    <w:rsid w:val="001C273F"/>
    <w:rsid w:val="001D130F"/>
    <w:rsid w:val="001D174B"/>
    <w:rsid w:val="001D692B"/>
    <w:rsid w:val="001E0B44"/>
    <w:rsid w:val="001E3423"/>
    <w:rsid w:val="001E5DD0"/>
    <w:rsid w:val="001F0181"/>
    <w:rsid w:val="001F2162"/>
    <w:rsid w:val="001F270A"/>
    <w:rsid w:val="001F44A6"/>
    <w:rsid w:val="001F73DB"/>
    <w:rsid w:val="002017DF"/>
    <w:rsid w:val="002054B7"/>
    <w:rsid w:val="002061F2"/>
    <w:rsid w:val="00206A30"/>
    <w:rsid w:val="00211E23"/>
    <w:rsid w:val="002142D1"/>
    <w:rsid w:val="0021710E"/>
    <w:rsid w:val="00217324"/>
    <w:rsid w:val="002314A5"/>
    <w:rsid w:val="00234D7C"/>
    <w:rsid w:val="002352FE"/>
    <w:rsid w:val="002360FF"/>
    <w:rsid w:val="00241017"/>
    <w:rsid w:val="00242A5F"/>
    <w:rsid w:val="00246E58"/>
    <w:rsid w:val="00246F92"/>
    <w:rsid w:val="0024735D"/>
    <w:rsid w:val="00251148"/>
    <w:rsid w:val="00254BAD"/>
    <w:rsid w:val="002603C6"/>
    <w:rsid w:val="00267226"/>
    <w:rsid w:val="00272E59"/>
    <w:rsid w:val="00275190"/>
    <w:rsid w:val="00282420"/>
    <w:rsid w:val="00282463"/>
    <w:rsid w:val="00287BC1"/>
    <w:rsid w:val="002A14C4"/>
    <w:rsid w:val="002A23E3"/>
    <w:rsid w:val="002A435B"/>
    <w:rsid w:val="002A4ABB"/>
    <w:rsid w:val="002A67B3"/>
    <w:rsid w:val="002A73E3"/>
    <w:rsid w:val="002A7CA2"/>
    <w:rsid w:val="002B01D6"/>
    <w:rsid w:val="002B7015"/>
    <w:rsid w:val="002C4900"/>
    <w:rsid w:val="002D14D1"/>
    <w:rsid w:val="002D1A63"/>
    <w:rsid w:val="002D6058"/>
    <w:rsid w:val="002D60C2"/>
    <w:rsid w:val="002D7445"/>
    <w:rsid w:val="002E0A3F"/>
    <w:rsid w:val="002E1500"/>
    <w:rsid w:val="002E24CF"/>
    <w:rsid w:val="002E7283"/>
    <w:rsid w:val="002F2269"/>
    <w:rsid w:val="002F28CE"/>
    <w:rsid w:val="002F2DF1"/>
    <w:rsid w:val="002F614C"/>
    <w:rsid w:val="00301102"/>
    <w:rsid w:val="00301446"/>
    <w:rsid w:val="003056B0"/>
    <w:rsid w:val="00306CE7"/>
    <w:rsid w:val="00314601"/>
    <w:rsid w:val="0031695C"/>
    <w:rsid w:val="003171CD"/>
    <w:rsid w:val="00321134"/>
    <w:rsid w:val="0032176B"/>
    <w:rsid w:val="003219FE"/>
    <w:rsid w:val="00323F85"/>
    <w:rsid w:val="00327DE4"/>
    <w:rsid w:val="00335008"/>
    <w:rsid w:val="00335BF2"/>
    <w:rsid w:val="0034049E"/>
    <w:rsid w:val="003475F2"/>
    <w:rsid w:val="00350758"/>
    <w:rsid w:val="0035227C"/>
    <w:rsid w:val="0036140D"/>
    <w:rsid w:val="003624C7"/>
    <w:rsid w:val="00363B8E"/>
    <w:rsid w:val="00363EC5"/>
    <w:rsid w:val="0036420D"/>
    <w:rsid w:val="00380013"/>
    <w:rsid w:val="003835E6"/>
    <w:rsid w:val="0038413A"/>
    <w:rsid w:val="00384464"/>
    <w:rsid w:val="003924D4"/>
    <w:rsid w:val="003936A6"/>
    <w:rsid w:val="003976AD"/>
    <w:rsid w:val="003A1E21"/>
    <w:rsid w:val="003B1002"/>
    <w:rsid w:val="003B52BE"/>
    <w:rsid w:val="003C496F"/>
    <w:rsid w:val="003D1473"/>
    <w:rsid w:val="003D549D"/>
    <w:rsid w:val="003D5B82"/>
    <w:rsid w:val="003D7E2B"/>
    <w:rsid w:val="003E0009"/>
    <w:rsid w:val="003E1B8A"/>
    <w:rsid w:val="003E1CF7"/>
    <w:rsid w:val="003E489C"/>
    <w:rsid w:val="003E5255"/>
    <w:rsid w:val="003E5807"/>
    <w:rsid w:val="003E581D"/>
    <w:rsid w:val="003F14AA"/>
    <w:rsid w:val="003F2B23"/>
    <w:rsid w:val="003F351D"/>
    <w:rsid w:val="00400FFE"/>
    <w:rsid w:val="00403571"/>
    <w:rsid w:val="00405F6D"/>
    <w:rsid w:val="00411C80"/>
    <w:rsid w:val="00411C9C"/>
    <w:rsid w:val="004148C4"/>
    <w:rsid w:val="00417473"/>
    <w:rsid w:val="00421C65"/>
    <w:rsid w:val="00424016"/>
    <w:rsid w:val="00424AF1"/>
    <w:rsid w:val="004329D0"/>
    <w:rsid w:val="004376CC"/>
    <w:rsid w:val="00441D27"/>
    <w:rsid w:val="0044704D"/>
    <w:rsid w:val="004552DE"/>
    <w:rsid w:val="004569E6"/>
    <w:rsid w:val="00457314"/>
    <w:rsid w:val="004677A8"/>
    <w:rsid w:val="0047089D"/>
    <w:rsid w:val="0047144E"/>
    <w:rsid w:val="00472D6C"/>
    <w:rsid w:val="00474E5F"/>
    <w:rsid w:val="0048096A"/>
    <w:rsid w:val="004903B1"/>
    <w:rsid w:val="004A08BE"/>
    <w:rsid w:val="004A3781"/>
    <w:rsid w:val="004B1474"/>
    <w:rsid w:val="004B1D46"/>
    <w:rsid w:val="004B3EFA"/>
    <w:rsid w:val="004B443F"/>
    <w:rsid w:val="004B5F5D"/>
    <w:rsid w:val="004B640C"/>
    <w:rsid w:val="004B7BD8"/>
    <w:rsid w:val="004D1E30"/>
    <w:rsid w:val="004D4D6D"/>
    <w:rsid w:val="004D5375"/>
    <w:rsid w:val="004E10AF"/>
    <w:rsid w:val="004E368C"/>
    <w:rsid w:val="004F1997"/>
    <w:rsid w:val="004F2B88"/>
    <w:rsid w:val="004F5EDE"/>
    <w:rsid w:val="005014DB"/>
    <w:rsid w:val="00502910"/>
    <w:rsid w:val="00502E46"/>
    <w:rsid w:val="00507C3B"/>
    <w:rsid w:val="005110F6"/>
    <w:rsid w:val="00513DA4"/>
    <w:rsid w:val="00515003"/>
    <w:rsid w:val="005204C6"/>
    <w:rsid w:val="005253E2"/>
    <w:rsid w:val="005312CD"/>
    <w:rsid w:val="00532B36"/>
    <w:rsid w:val="00533538"/>
    <w:rsid w:val="00536E4B"/>
    <w:rsid w:val="005376CA"/>
    <w:rsid w:val="0054467F"/>
    <w:rsid w:val="00554F9B"/>
    <w:rsid w:val="00556EF0"/>
    <w:rsid w:val="00563583"/>
    <w:rsid w:val="00564074"/>
    <w:rsid w:val="00572688"/>
    <w:rsid w:val="00576DD7"/>
    <w:rsid w:val="005775E7"/>
    <w:rsid w:val="00581B26"/>
    <w:rsid w:val="0058281A"/>
    <w:rsid w:val="00587C45"/>
    <w:rsid w:val="00590C1B"/>
    <w:rsid w:val="005947BA"/>
    <w:rsid w:val="00595EB6"/>
    <w:rsid w:val="005A043E"/>
    <w:rsid w:val="005A100B"/>
    <w:rsid w:val="005A2520"/>
    <w:rsid w:val="005A4459"/>
    <w:rsid w:val="005A72FD"/>
    <w:rsid w:val="005B06EE"/>
    <w:rsid w:val="005B0CFB"/>
    <w:rsid w:val="005B4651"/>
    <w:rsid w:val="005C07DE"/>
    <w:rsid w:val="005C3533"/>
    <w:rsid w:val="005C4C86"/>
    <w:rsid w:val="005D0532"/>
    <w:rsid w:val="005E0047"/>
    <w:rsid w:val="005E006E"/>
    <w:rsid w:val="005E0150"/>
    <w:rsid w:val="005E02D0"/>
    <w:rsid w:val="005E0B23"/>
    <w:rsid w:val="005E0DD8"/>
    <w:rsid w:val="005E2425"/>
    <w:rsid w:val="005E3C8B"/>
    <w:rsid w:val="005E7888"/>
    <w:rsid w:val="005F1762"/>
    <w:rsid w:val="005F4807"/>
    <w:rsid w:val="005F5A0E"/>
    <w:rsid w:val="0060242C"/>
    <w:rsid w:val="00607FBA"/>
    <w:rsid w:val="00613EA5"/>
    <w:rsid w:val="006140D8"/>
    <w:rsid w:val="006170B5"/>
    <w:rsid w:val="00617419"/>
    <w:rsid w:val="006234A1"/>
    <w:rsid w:val="00624701"/>
    <w:rsid w:val="006247A7"/>
    <w:rsid w:val="00624F7B"/>
    <w:rsid w:val="00627FDB"/>
    <w:rsid w:val="00637FC7"/>
    <w:rsid w:val="00641486"/>
    <w:rsid w:val="00642ABC"/>
    <w:rsid w:val="00643E7F"/>
    <w:rsid w:val="0065728F"/>
    <w:rsid w:val="006622E8"/>
    <w:rsid w:val="00662ED4"/>
    <w:rsid w:val="00663074"/>
    <w:rsid w:val="006658AE"/>
    <w:rsid w:val="00665B65"/>
    <w:rsid w:val="00670A5F"/>
    <w:rsid w:val="00671166"/>
    <w:rsid w:val="00686C71"/>
    <w:rsid w:val="00693011"/>
    <w:rsid w:val="00693649"/>
    <w:rsid w:val="00694E97"/>
    <w:rsid w:val="006958D4"/>
    <w:rsid w:val="006A0FE6"/>
    <w:rsid w:val="006A1E0F"/>
    <w:rsid w:val="006A30B3"/>
    <w:rsid w:val="006A3A05"/>
    <w:rsid w:val="006A60C9"/>
    <w:rsid w:val="006A73B6"/>
    <w:rsid w:val="006B3469"/>
    <w:rsid w:val="006B3AEF"/>
    <w:rsid w:val="006B3D26"/>
    <w:rsid w:val="006B6151"/>
    <w:rsid w:val="006C407D"/>
    <w:rsid w:val="006C756C"/>
    <w:rsid w:val="006D2CE5"/>
    <w:rsid w:val="006D2CFE"/>
    <w:rsid w:val="006D681B"/>
    <w:rsid w:val="006E38A0"/>
    <w:rsid w:val="006F12CE"/>
    <w:rsid w:val="006F1B86"/>
    <w:rsid w:val="006F636F"/>
    <w:rsid w:val="007037DF"/>
    <w:rsid w:val="007047C0"/>
    <w:rsid w:val="00707F8A"/>
    <w:rsid w:val="007149DB"/>
    <w:rsid w:val="00721020"/>
    <w:rsid w:val="00727502"/>
    <w:rsid w:val="00731019"/>
    <w:rsid w:val="00733334"/>
    <w:rsid w:val="00735B16"/>
    <w:rsid w:val="00737D7A"/>
    <w:rsid w:val="00741138"/>
    <w:rsid w:val="00742FC4"/>
    <w:rsid w:val="00750387"/>
    <w:rsid w:val="007504B3"/>
    <w:rsid w:val="0075355F"/>
    <w:rsid w:val="007549FA"/>
    <w:rsid w:val="00755D74"/>
    <w:rsid w:val="00765D69"/>
    <w:rsid w:val="0078208B"/>
    <w:rsid w:val="0078321A"/>
    <w:rsid w:val="007844D4"/>
    <w:rsid w:val="00790CB8"/>
    <w:rsid w:val="00794B7E"/>
    <w:rsid w:val="00794C95"/>
    <w:rsid w:val="0079580A"/>
    <w:rsid w:val="007979B4"/>
    <w:rsid w:val="007B1197"/>
    <w:rsid w:val="007B39B9"/>
    <w:rsid w:val="007B4F60"/>
    <w:rsid w:val="007C3C85"/>
    <w:rsid w:val="007D56E0"/>
    <w:rsid w:val="007D5EEC"/>
    <w:rsid w:val="007D65B6"/>
    <w:rsid w:val="007D7BDB"/>
    <w:rsid w:val="007E23D3"/>
    <w:rsid w:val="007E76DB"/>
    <w:rsid w:val="007F038C"/>
    <w:rsid w:val="007F5B24"/>
    <w:rsid w:val="007F5DB8"/>
    <w:rsid w:val="007F75D5"/>
    <w:rsid w:val="00800FD4"/>
    <w:rsid w:val="00801395"/>
    <w:rsid w:val="00802891"/>
    <w:rsid w:val="00804F87"/>
    <w:rsid w:val="00805423"/>
    <w:rsid w:val="008054B3"/>
    <w:rsid w:val="00805FE5"/>
    <w:rsid w:val="00807625"/>
    <w:rsid w:val="0081374E"/>
    <w:rsid w:val="00813E13"/>
    <w:rsid w:val="00814212"/>
    <w:rsid w:val="008150A7"/>
    <w:rsid w:val="00817727"/>
    <w:rsid w:val="00817934"/>
    <w:rsid w:val="00824853"/>
    <w:rsid w:val="00825581"/>
    <w:rsid w:val="008273D0"/>
    <w:rsid w:val="00830F5F"/>
    <w:rsid w:val="008329C2"/>
    <w:rsid w:val="008413A3"/>
    <w:rsid w:val="00842F25"/>
    <w:rsid w:val="00856C90"/>
    <w:rsid w:val="00862C4F"/>
    <w:rsid w:val="00863251"/>
    <w:rsid w:val="00863470"/>
    <w:rsid w:val="00867374"/>
    <w:rsid w:val="00867528"/>
    <w:rsid w:val="00872DD7"/>
    <w:rsid w:val="008818F4"/>
    <w:rsid w:val="0088552D"/>
    <w:rsid w:val="00885D88"/>
    <w:rsid w:val="00890C7B"/>
    <w:rsid w:val="00893DD9"/>
    <w:rsid w:val="008964D4"/>
    <w:rsid w:val="008A3FE7"/>
    <w:rsid w:val="008A5F8F"/>
    <w:rsid w:val="008A7203"/>
    <w:rsid w:val="008B2FE0"/>
    <w:rsid w:val="008B7D90"/>
    <w:rsid w:val="008C516B"/>
    <w:rsid w:val="008C698D"/>
    <w:rsid w:val="008C6C0B"/>
    <w:rsid w:val="008D0099"/>
    <w:rsid w:val="008D2FDF"/>
    <w:rsid w:val="008D346C"/>
    <w:rsid w:val="008D4E28"/>
    <w:rsid w:val="008D54F1"/>
    <w:rsid w:val="008E0A45"/>
    <w:rsid w:val="008E53DA"/>
    <w:rsid w:val="008E59AE"/>
    <w:rsid w:val="008E759C"/>
    <w:rsid w:val="008E7C89"/>
    <w:rsid w:val="008F34A8"/>
    <w:rsid w:val="008F46A1"/>
    <w:rsid w:val="009029B7"/>
    <w:rsid w:val="009158B8"/>
    <w:rsid w:val="0091629F"/>
    <w:rsid w:val="00923DF0"/>
    <w:rsid w:val="00930CEE"/>
    <w:rsid w:val="0093432D"/>
    <w:rsid w:val="00940521"/>
    <w:rsid w:val="00941E9C"/>
    <w:rsid w:val="00943BDD"/>
    <w:rsid w:val="00943F8F"/>
    <w:rsid w:val="0094683D"/>
    <w:rsid w:val="009549E5"/>
    <w:rsid w:val="00955C3D"/>
    <w:rsid w:val="00962CD1"/>
    <w:rsid w:val="00967BB8"/>
    <w:rsid w:val="009756C5"/>
    <w:rsid w:val="00977362"/>
    <w:rsid w:val="00977E0B"/>
    <w:rsid w:val="00980558"/>
    <w:rsid w:val="00982BE4"/>
    <w:rsid w:val="00982F55"/>
    <w:rsid w:val="00983B2D"/>
    <w:rsid w:val="00984812"/>
    <w:rsid w:val="00987D79"/>
    <w:rsid w:val="00992170"/>
    <w:rsid w:val="0099306D"/>
    <w:rsid w:val="00996F71"/>
    <w:rsid w:val="009A1150"/>
    <w:rsid w:val="009A5241"/>
    <w:rsid w:val="009A557A"/>
    <w:rsid w:val="009A6EC3"/>
    <w:rsid w:val="009B1379"/>
    <w:rsid w:val="009C3F3A"/>
    <w:rsid w:val="009C55A1"/>
    <w:rsid w:val="009C5AE3"/>
    <w:rsid w:val="009D29BB"/>
    <w:rsid w:val="009D3BA3"/>
    <w:rsid w:val="009D785E"/>
    <w:rsid w:val="009E0117"/>
    <w:rsid w:val="009E0A7A"/>
    <w:rsid w:val="009E23E9"/>
    <w:rsid w:val="009E4DA5"/>
    <w:rsid w:val="009F6220"/>
    <w:rsid w:val="00A00928"/>
    <w:rsid w:val="00A018A7"/>
    <w:rsid w:val="00A0215E"/>
    <w:rsid w:val="00A04482"/>
    <w:rsid w:val="00A04AFF"/>
    <w:rsid w:val="00A056B5"/>
    <w:rsid w:val="00A115B0"/>
    <w:rsid w:val="00A22224"/>
    <w:rsid w:val="00A317B2"/>
    <w:rsid w:val="00A31FBA"/>
    <w:rsid w:val="00A36DCC"/>
    <w:rsid w:val="00A404B7"/>
    <w:rsid w:val="00A40EA8"/>
    <w:rsid w:val="00A449C6"/>
    <w:rsid w:val="00A47489"/>
    <w:rsid w:val="00A5230B"/>
    <w:rsid w:val="00A57D75"/>
    <w:rsid w:val="00A60632"/>
    <w:rsid w:val="00A60CA0"/>
    <w:rsid w:val="00A613A8"/>
    <w:rsid w:val="00A70F65"/>
    <w:rsid w:val="00A731F4"/>
    <w:rsid w:val="00A737D5"/>
    <w:rsid w:val="00A74CE4"/>
    <w:rsid w:val="00A75ECD"/>
    <w:rsid w:val="00A7621C"/>
    <w:rsid w:val="00A77848"/>
    <w:rsid w:val="00A8054D"/>
    <w:rsid w:val="00A85A94"/>
    <w:rsid w:val="00A90849"/>
    <w:rsid w:val="00A967DA"/>
    <w:rsid w:val="00AA1A42"/>
    <w:rsid w:val="00AA2A20"/>
    <w:rsid w:val="00AA355A"/>
    <w:rsid w:val="00AA3B67"/>
    <w:rsid w:val="00AA5CA4"/>
    <w:rsid w:val="00AA7C6B"/>
    <w:rsid w:val="00AB3F85"/>
    <w:rsid w:val="00AB5EC0"/>
    <w:rsid w:val="00AB7163"/>
    <w:rsid w:val="00AC0003"/>
    <w:rsid w:val="00AC0FDC"/>
    <w:rsid w:val="00AC2976"/>
    <w:rsid w:val="00AC5313"/>
    <w:rsid w:val="00AC568A"/>
    <w:rsid w:val="00AD232E"/>
    <w:rsid w:val="00AD3661"/>
    <w:rsid w:val="00AD6967"/>
    <w:rsid w:val="00AD6EB0"/>
    <w:rsid w:val="00AD7DEE"/>
    <w:rsid w:val="00AD7E95"/>
    <w:rsid w:val="00AD7F98"/>
    <w:rsid w:val="00AF1E11"/>
    <w:rsid w:val="00B00EE0"/>
    <w:rsid w:val="00B01A3C"/>
    <w:rsid w:val="00B067C7"/>
    <w:rsid w:val="00B14757"/>
    <w:rsid w:val="00B162F3"/>
    <w:rsid w:val="00B17248"/>
    <w:rsid w:val="00B203C0"/>
    <w:rsid w:val="00B20870"/>
    <w:rsid w:val="00B22499"/>
    <w:rsid w:val="00B22AFA"/>
    <w:rsid w:val="00B24A3A"/>
    <w:rsid w:val="00B334CB"/>
    <w:rsid w:val="00B411BD"/>
    <w:rsid w:val="00B42E58"/>
    <w:rsid w:val="00B46975"/>
    <w:rsid w:val="00B57440"/>
    <w:rsid w:val="00B5790F"/>
    <w:rsid w:val="00B64AD2"/>
    <w:rsid w:val="00B81C33"/>
    <w:rsid w:val="00B84454"/>
    <w:rsid w:val="00B86A6C"/>
    <w:rsid w:val="00B86CCE"/>
    <w:rsid w:val="00B86EC8"/>
    <w:rsid w:val="00B92DC3"/>
    <w:rsid w:val="00B96AF5"/>
    <w:rsid w:val="00BA3FB0"/>
    <w:rsid w:val="00BC47C9"/>
    <w:rsid w:val="00BC4E30"/>
    <w:rsid w:val="00BD50D5"/>
    <w:rsid w:val="00BE0F88"/>
    <w:rsid w:val="00BE1750"/>
    <w:rsid w:val="00BE1B97"/>
    <w:rsid w:val="00BE265D"/>
    <w:rsid w:val="00BE3871"/>
    <w:rsid w:val="00BE641B"/>
    <w:rsid w:val="00BE6D04"/>
    <w:rsid w:val="00BF1D21"/>
    <w:rsid w:val="00BF2BED"/>
    <w:rsid w:val="00C035BB"/>
    <w:rsid w:val="00C04483"/>
    <w:rsid w:val="00C04DA3"/>
    <w:rsid w:val="00C129E7"/>
    <w:rsid w:val="00C13C7F"/>
    <w:rsid w:val="00C14997"/>
    <w:rsid w:val="00C24731"/>
    <w:rsid w:val="00C308A6"/>
    <w:rsid w:val="00C3142C"/>
    <w:rsid w:val="00C36283"/>
    <w:rsid w:val="00C373AB"/>
    <w:rsid w:val="00C3781E"/>
    <w:rsid w:val="00C4025E"/>
    <w:rsid w:val="00C44F39"/>
    <w:rsid w:val="00C56D4F"/>
    <w:rsid w:val="00C575F1"/>
    <w:rsid w:val="00C632C1"/>
    <w:rsid w:val="00C63FD8"/>
    <w:rsid w:val="00C674AC"/>
    <w:rsid w:val="00C750D8"/>
    <w:rsid w:val="00C77D33"/>
    <w:rsid w:val="00C82F67"/>
    <w:rsid w:val="00C845CF"/>
    <w:rsid w:val="00C90015"/>
    <w:rsid w:val="00C90A41"/>
    <w:rsid w:val="00C97664"/>
    <w:rsid w:val="00CA1F8E"/>
    <w:rsid w:val="00CA3432"/>
    <w:rsid w:val="00CA52B2"/>
    <w:rsid w:val="00CB3FFF"/>
    <w:rsid w:val="00CB60D4"/>
    <w:rsid w:val="00CB6D4C"/>
    <w:rsid w:val="00CB73C9"/>
    <w:rsid w:val="00CB77C8"/>
    <w:rsid w:val="00CC0ECD"/>
    <w:rsid w:val="00CC2960"/>
    <w:rsid w:val="00CC34DD"/>
    <w:rsid w:val="00CC5E75"/>
    <w:rsid w:val="00CD2E94"/>
    <w:rsid w:val="00CE0532"/>
    <w:rsid w:val="00CE5BCE"/>
    <w:rsid w:val="00CE641C"/>
    <w:rsid w:val="00CF599D"/>
    <w:rsid w:val="00D00121"/>
    <w:rsid w:val="00D06987"/>
    <w:rsid w:val="00D1159A"/>
    <w:rsid w:val="00D16970"/>
    <w:rsid w:val="00D16FE6"/>
    <w:rsid w:val="00D247BA"/>
    <w:rsid w:val="00D2587E"/>
    <w:rsid w:val="00D305CE"/>
    <w:rsid w:val="00D3348A"/>
    <w:rsid w:val="00D479FF"/>
    <w:rsid w:val="00D50286"/>
    <w:rsid w:val="00D50927"/>
    <w:rsid w:val="00D54F5E"/>
    <w:rsid w:val="00D55782"/>
    <w:rsid w:val="00D57B62"/>
    <w:rsid w:val="00D60F86"/>
    <w:rsid w:val="00D674F3"/>
    <w:rsid w:val="00D70422"/>
    <w:rsid w:val="00D73D96"/>
    <w:rsid w:val="00D7514D"/>
    <w:rsid w:val="00D77D7D"/>
    <w:rsid w:val="00D804B0"/>
    <w:rsid w:val="00D82162"/>
    <w:rsid w:val="00D861B7"/>
    <w:rsid w:val="00D8772E"/>
    <w:rsid w:val="00D9274C"/>
    <w:rsid w:val="00D95C98"/>
    <w:rsid w:val="00D976F9"/>
    <w:rsid w:val="00DA4AE3"/>
    <w:rsid w:val="00DB3611"/>
    <w:rsid w:val="00DB3B15"/>
    <w:rsid w:val="00DB3FAC"/>
    <w:rsid w:val="00DB4B52"/>
    <w:rsid w:val="00DB5B69"/>
    <w:rsid w:val="00DC1B1B"/>
    <w:rsid w:val="00DC2165"/>
    <w:rsid w:val="00DC52D0"/>
    <w:rsid w:val="00DC531A"/>
    <w:rsid w:val="00DC5A33"/>
    <w:rsid w:val="00DC602C"/>
    <w:rsid w:val="00DD5463"/>
    <w:rsid w:val="00DE0467"/>
    <w:rsid w:val="00DE36C8"/>
    <w:rsid w:val="00DF4EBE"/>
    <w:rsid w:val="00DF6F0A"/>
    <w:rsid w:val="00DF79ED"/>
    <w:rsid w:val="00DF7B7D"/>
    <w:rsid w:val="00DF7C12"/>
    <w:rsid w:val="00E0525F"/>
    <w:rsid w:val="00E05F4F"/>
    <w:rsid w:val="00E05F8B"/>
    <w:rsid w:val="00E14B87"/>
    <w:rsid w:val="00E16B00"/>
    <w:rsid w:val="00E215CA"/>
    <w:rsid w:val="00E33407"/>
    <w:rsid w:val="00E37FE8"/>
    <w:rsid w:val="00E54B86"/>
    <w:rsid w:val="00E55333"/>
    <w:rsid w:val="00E64250"/>
    <w:rsid w:val="00E6723C"/>
    <w:rsid w:val="00E6771F"/>
    <w:rsid w:val="00E7006B"/>
    <w:rsid w:val="00E7130A"/>
    <w:rsid w:val="00E76954"/>
    <w:rsid w:val="00E82D36"/>
    <w:rsid w:val="00E8345A"/>
    <w:rsid w:val="00E839EE"/>
    <w:rsid w:val="00E84E6D"/>
    <w:rsid w:val="00E8730C"/>
    <w:rsid w:val="00E93C35"/>
    <w:rsid w:val="00E96150"/>
    <w:rsid w:val="00EA3B14"/>
    <w:rsid w:val="00EA47AD"/>
    <w:rsid w:val="00EB00CF"/>
    <w:rsid w:val="00EB21F7"/>
    <w:rsid w:val="00EB273B"/>
    <w:rsid w:val="00EB4863"/>
    <w:rsid w:val="00EB4FD2"/>
    <w:rsid w:val="00EB6406"/>
    <w:rsid w:val="00EB79BB"/>
    <w:rsid w:val="00ED0081"/>
    <w:rsid w:val="00ED3BB8"/>
    <w:rsid w:val="00ED6D79"/>
    <w:rsid w:val="00EE19C1"/>
    <w:rsid w:val="00EE285B"/>
    <w:rsid w:val="00EE286F"/>
    <w:rsid w:val="00EE3A0D"/>
    <w:rsid w:val="00EE60E2"/>
    <w:rsid w:val="00EE7BDA"/>
    <w:rsid w:val="00EF1740"/>
    <w:rsid w:val="00EF3FB0"/>
    <w:rsid w:val="00EF51B5"/>
    <w:rsid w:val="00EF59B6"/>
    <w:rsid w:val="00F00C84"/>
    <w:rsid w:val="00F04212"/>
    <w:rsid w:val="00F04A40"/>
    <w:rsid w:val="00F058DC"/>
    <w:rsid w:val="00F06EAD"/>
    <w:rsid w:val="00F1205A"/>
    <w:rsid w:val="00F12993"/>
    <w:rsid w:val="00F15988"/>
    <w:rsid w:val="00F17692"/>
    <w:rsid w:val="00F1793A"/>
    <w:rsid w:val="00F237D5"/>
    <w:rsid w:val="00F24F2D"/>
    <w:rsid w:val="00F27AD4"/>
    <w:rsid w:val="00F32EB6"/>
    <w:rsid w:val="00F36464"/>
    <w:rsid w:val="00F3760F"/>
    <w:rsid w:val="00F4085B"/>
    <w:rsid w:val="00F41A46"/>
    <w:rsid w:val="00F42F63"/>
    <w:rsid w:val="00F47D31"/>
    <w:rsid w:val="00F51D03"/>
    <w:rsid w:val="00F520BA"/>
    <w:rsid w:val="00F548BD"/>
    <w:rsid w:val="00F63B45"/>
    <w:rsid w:val="00F666B2"/>
    <w:rsid w:val="00F72F38"/>
    <w:rsid w:val="00F801C5"/>
    <w:rsid w:val="00F816EC"/>
    <w:rsid w:val="00F864CA"/>
    <w:rsid w:val="00F9422A"/>
    <w:rsid w:val="00F946BC"/>
    <w:rsid w:val="00FA0931"/>
    <w:rsid w:val="00FA3521"/>
    <w:rsid w:val="00FA4570"/>
    <w:rsid w:val="00FA45E9"/>
    <w:rsid w:val="00FB1D3F"/>
    <w:rsid w:val="00FB411C"/>
    <w:rsid w:val="00FB6DBE"/>
    <w:rsid w:val="00FC1D7E"/>
    <w:rsid w:val="00FC4B0D"/>
    <w:rsid w:val="00FC69CF"/>
    <w:rsid w:val="00FC6C42"/>
    <w:rsid w:val="00FC76C6"/>
    <w:rsid w:val="00FD1FA3"/>
    <w:rsid w:val="00FD4CC6"/>
    <w:rsid w:val="00FD7FD5"/>
    <w:rsid w:val="00FE03C6"/>
    <w:rsid w:val="00FE10FC"/>
    <w:rsid w:val="00FE35D2"/>
    <w:rsid w:val="00FE43EA"/>
    <w:rsid w:val="00FE56B4"/>
    <w:rsid w:val="00FE5BE0"/>
    <w:rsid w:val="00FE78B0"/>
    <w:rsid w:val="00FF2164"/>
    <w:rsid w:val="00FF4D68"/>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3445</Words>
  <Characters>19641</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23040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3</cp:revision>
  <dcterms:created xsi:type="dcterms:W3CDTF">2017-12-05T22:58:00Z</dcterms:created>
  <dcterms:modified xsi:type="dcterms:W3CDTF">2017-12-05T22:59:00Z</dcterms:modified>
</cp:coreProperties>
</file>