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F514CF"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IPNNI- 2014-00083R9</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197F95" w:rsidRDefault="00197F95" w:rsidP="007C5D6B">
      <w:pPr>
        <w:adjustRightInd w:val="0"/>
        <w:jc w:val="center"/>
        <w:rPr>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provides </w:t>
      </w:r>
      <w:r w:rsidR="005D1D40">
        <w:rPr>
          <w:rFonts w:ascii="Times New Roman" w:hAnsi="Times New Roman"/>
          <w:bCs/>
          <w:color w:val="000000"/>
          <w:sz w:val="24"/>
        </w:rPr>
        <w:t>a clean copy; 83R9</w:t>
      </w:r>
      <w:bookmarkStart w:id="1" w:name="_GoBack"/>
      <w:bookmarkEnd w:id="1"/>
      <w:r>
        <w:rPr>
          <w:rFonts w:ascii="Times New Roman" w:hAnsi="Times New Roman"/>
          <w:bCs/>
          <w:color w:val="000000"/>
          <w:sz w:val="24"/>
        </w:rPr>
        <w:t>, incorporating agreements reached at the IP NNI Task Group 9/17-18/2014 Meeting.</w:t>
      </w:r>
    </w:p>
    <w:p w:rsidR="00AE5F88" w:rsidRDefault="00AE5F88" w:rsidP="007C5D6B">
      <w:pPr>
        <w:adjustRightInd w:val="0"/>
        <w:jc w:val="center"/>
        <w:rPr>
          <w:rFonts w:ascii="Times New Roman" w:hAnsi="Times New Roman"/>
          <w:bCs/>
          <w:color w:val="000000"/>
          <w:sz w:val="24"/>
        </w:rPr>
      </w:pP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2" w:name="_Toc398748822"/>
      <w:bookmarkEnd w:id="0"/>
      <w:r>
        <w:rPr>
          <w:rFonts w:cs="Arial"/>
          <w:b/>
          <w:sz w:val="28"/>
          <w:highlight w:val="yellow"/>
        </w:rPr>
        <w:t>ATIS-0x0000x.YYYY</w:t>
      </w:r>
      <w:bookmarkEnd w:id="2"/>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3" w:name="_Toc398748823"/>
      <w:r>
        <w:rPr>
          <w:bCs/>
          <w:sz w:val="28"/>
        </w:rPr>
        <w:t xml:space="preserve">American National Standard for </w:t>
      </w:r>
      <w:commentRangeStart w:id="4"/>
      <w:r>
        <w:rPr>
          <w:bCs/>
          <w:sz w:val="28"/>
        </w:rPr>
        <w:t>Telecommunications</w:t>
      </w:r>
      <w:commentRangeEnd w:id="4"/>
      <w:r w:rsidR="003B4FD5">
        <w:rPr>
          <w:rStyle w:val="CommentReference"/>
        </w:rPr>
        <w:commentReference w:id="4"/>
      </w:r>
      <w:bookmarkEnd w:id="3"/>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5" w:name="_Toc398748824"/>
      <w:r>
        <w:rPr>
          <w:rFonts w:cs="Arial"/>
          <w:b/>
          <w:bCs/>
          <w:iCs/>
          <w:sz w:val="36"/>
        </w:rPr>
        <w:t>IP Interconnection</w:t>
      </w:r>
      <w:r w:rsidR="00D75B38">
        <w:rPr>
          <w:rFonts w:cs="Arial"/>
          <w:b/>
          <w:bCs/>
          <w:iCs/>
          <w:sz w:val="36"/>
        </w:rPr>
        <w:t xml:space="preserve"> Routing</w:t>
      </w:r>
      <w:bookmarkEnd w:id="5"/>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6" w:name="_Toc398748825"/>
      <w:r>
        <w:rPr>
          <w:b/>
        </w:rPr>
        <w:t>Alliance for Telecommunications Industry Solutions</w:t>
      </w:r>
      <w:bookmarkEnd w:id="6"/>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7" w:name="_Toc398748826"/>
      <w:r>
        <w:rPr>
          <w:b/>
        </w:rPr>
        <w:t>Abstract</w:t>
      </w:r>
      <w:bookmarkEnd w:id="7"/>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8" w:name="_Toc48745431"/>
      <w:bookmarkStart w:id="9" w:name="_Toc48745177"/>
      <w:bookmarkStart w:id="10" w:name="_Toc48745052"/>
      <w:bookmarkStart w:id="11" w:name="_Toc48744941"/>
      <w:bookmarkStart w:id="12" w:name="_Toc48744261"/>
      <w:bookmarkStart w:id="13" w:name="_Toc48744141"/>
      <w:bookmarkStart w:id="14" w:name="_Toc48744090"/>
      <w:bookmarkStart w:id="15" w:name="_Toc48744060"/>
      <w:bookmarkStart w:id="16" w:name="_Toc48744022"/>
      <w:bookmarkStart w:id="17" w:name="_Toc48743957"/>
      <w:bookmarkStart w:id="18" w:name="_Toc48743927"/>
      <w:bookmarkStart w:id="19" w:name="_Toc48743888"/>
      <w:bookmarkStart w:id="20" w:name="_Toc48743832"/>
      <w:bookmarkStart w:id="21" w:name="_Toc48743656"/>
      <w:bookmarkStart w:id="22" w:name="_Toc48743626"/>
      <w:bookmarkStart w:id="23" w:name="_Toc48743550"/>
      <w:bookmarkStart w:id="24" w:name="_Toc48743426"/>
      <w:bookmarkStart w:id="25" w:name="_Toc48743361"/>
      <w:bookmarkStart w:id="26" w:name="_Toc48743252"/>
      <w:bookmarkStart w:id="27" w:name="_Toc48743221"/>
      <w:bookmarkStart w:id="28" w:name="_Toc48743169"/>
      <w:bookmarkStart w:id="29" w:name="_Toc48742550"/>
      <w:bookmarkStart w:id="30" w:name="_Toc48742350"/>
      <w:bookmarkStart w:id="31" w:name="_Toc48742267"/>
      <w:bookmarkStart w:id="32" w:name="_Toc48742242"/>
      <w:bookmarkStart w:id="33" w:name="_Toc48742216"/>
      <w:bookmarkStart w:id="34" w:name="_Toc48742190"/>
      <w:bookmarkStart w:id="35" w:name="_Toc48741750"/>
      <w:bookmarkStart w:id="36" w:name="_Toc48741692"/>
      <w:bookmarkStart w:id="37"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122B28"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8748822" w:history="1">
            <w:r w:rsidR="00122B28" w:rsidRPr="002E0AB4">
              <w:rPr>
                <w:rStyle w:val="Hyperlink"/>
                <w:rFonts w:cs="Arial"/>
                <w:noProof/>
                <w:highlight w:val="yellow"/>
              </w:rPr>
              <w:t>ATIS-0x0000x.YYYY</w:t>
            </w:r>
            <w:r w:rsidR="00122B28">
              <w:rPr>
                <w:noProof/>
                <w:webHidden/>
              </w:rPr>
              <w:tab/>
            </w:r>
            <w:r w:rsidR="00122B28">
              <w:rPr>
                <w:noProof/>
                <w:webHidden/>
              </w:rPr>
              <w:fldChar w:fldCharType="begin"/>
            </w:r>
            <w:r w:rsidR="00122B28">
              <w:rPr>
                <w:noProof/>
                <w:webHidden/>
              </w:rPr>
              <w:instrText xml:space="preserve"> PAGEREF _Toc398748822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23" w:history="1">
            <w:r w:rsidR="00122B28" w:rsidRPr="002E0AB4">
              <w:rPr>
                <w:rStyle w:val="Hyperlink"/>
                <w:noProof/>
              </w:rPr>
              <w:t>American National Standard for Telecommunications</w:t>
            </w:r>
            <w:r w:rsidR="00122B28">
              <w:rPr>
                <w:noProof/>
                <w:webHidden/>
              </w:rPr>
              <w:tab/>
            </w:r>
            <w:r w:rsidR="00122B28">
              <w:rPr>
                <w:noProof/>
                <w:webHidden/>
              </w:rPr>
              <w:fldChar w:fldCharType="begin"/>
            </w:r>
            <w:r w:rsidR="00122B28">
              <w:rPr>
                <w:noProof/>
                <w:webHidden/>
              </w:rPr>
              <w:instrText xml:space="preserve"> PAGEREF _Toc398748823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24" w:history="1">
            <w:r w:rsidR="00122B28" w:rsidRPr="002E0AB4">
              <w:rPr>
                <w:rStyle w:val="Hyperlink"/>
                <w:rFonts w:cs="Arial"/>
                <w:iCs/>
                <w:noProof/>
              </w:rPr>
              <w:t>IP Interconnection Routing</w:t>
            </w:r>
            <w:r w:rsidR="00122B28">
              <w:rPr>
                <w:noProof/>
                <w:webHidden/>
              </w:rPr>
              <w:tab/>
            </w:r>
            <w:r w:rsidR="00122B28">
              <w:rPr>
                <w:noProof/>
                <w:webHidden/>
              </w:rPr>
              <w:fldChar w:fldCharType="begin"/>
            </w:r>
            <w:r w:rsidR="00122B28">
              <w:rPr>
                <w:noProof/>
                <w:webHidden/>
              </w:rPr>
              <w:instrText xml:space="preserve"> PAGEREF _Toc398748824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25" w:history="1">
            <w:r w:rsidR="00122B28" w:rsidRPr="002E0AB4">
              <w:rPr>
                <w:rStyle w:val="Hyperlink"/>
                <w:noProof/>
              </w:rPr>
              <w:t>Alliance for Telecommunications Industry Solutions</w:t>
            </w:r>
            <w:r w:rsidR="00122B28">
              <w:rPr>
                <w:noProof/>
                <w:webHidden/>
              </w:rPr>
              <w:tab/>
            </w:r>
            <w:r w:rsidR="00122B28">
              <w:rPr>
                <w:noProof/>
                <w:webHidden/>
              </w:rPr>
              <w:fldChar w:fldCharType="begin"/>
            </w:r>
            <w:r w:rsidR="00122B28">
              <w:rPr>
                <w:noProof/>
                <w:webHidden/>
              </w:rPr>
              <w:instrText xml:space="preserve"> PAGEREF _Toc398748825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26" w:history="1">
            <w:r w:rsidR="00122B28" w:rsidRPr="002E0AB4">
              <w:rPr>
                <w:rStyle w:val="Hyperlink"/>
                <w:noProof/>
              </w:rPr>
              <w:t>Abstract</w:t>
            </w:r>
            <w:r w:rsidR="00122B28">
              <w:rPr>
                <w:noProof/>
                <w:webHidden/>
              </w:rPr>
              <w:tab/>
            </w:r>
            <w:r w:rsidR="00122B28">
              <w:rPr>
                <w:noProof/>
                <w:webHidden/>
              </w:rPr>
              <w:fldChar w:fldCharType="begin"/>
            </w:r>
            <w:r w:rsidR="00122B28">
              <w:rPr>
                <w:noProof/>
                <w:webHidden/>
              </w:rPr>
              <w:instrText xml:space="preserve"> PAGEREF _Toc398748826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27" w:history="1">
            <w:r w:rsidR="00122B28" w:rsidRPr="002E0AB4">
              <w:rPr>
                <w:rStyle w:val="Hyperlink"/>
                <w:noProof/>
              </w:rPr>
              <w:t>1.</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Scope, Purpose, &amp; Application</w:t>
            </w:r>
            <w:r w:rsidR="00122B28">
              <w:rPr>
                <w:noProof/>
                <w:webHidden/>
              </w:rPr>
              <w:tab/>
            </w:r>
            <w:r w:rsidR="00122B28">
              <w:rPr>
                <w:noProof/>
                <w:webHidden/>
              </w:rPr>
              <w:fldChar w:fldCharType="begin"/>
            </w:r>
            <w:r w:rsidR="00122B28">
              <w:rPr>
                <w:noProof/>
                <w:webHidden/>
              </w:rPr>
              <w:instrText xml:space="preserve"> PAGEREF _Toc398748827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8" w:history="1">
            <w:r w:rsidR="00122B28" w:rsidRPr="002E0AB4">
              <w:rPr>
                <w:rStyle w:val="Hyperlink"/>
                <w:noProof/>
              </w:rPr>
              <w:t>1.1</w:t>
            </w:r>
            <w:r w:rsidR="00122B28">
              <w:rPr>
                <w:rFonts w:asciiTheme="minorHAnsi" w:eastAsiaTheme="minorEastAsia" w:hAnsiTheme="minorHAnsi" w:cstheme="minorBidi"/>
                <w:smallCaps w:val="0"/>
                <w:noProof/>
                <w:sz w:val="22"/>
                <w:szCs w:val="22"/>
              </w:rPr>
              <w:tab/>
            </w:r>
            <w:r w:rsidR="00122B28" w:rsidRPr="002E0AB4">
              <w:rPr>
                <w:rStyle w:val="Hyperlink"/>
                <w:noProof/>
              </w:rPr>
              <w:t>Scope</w:t>
            </w:r>
            <w:r w:rsidR="00122B28">
              <w:rPr>
                <w:noProof/>
                <w:webHidden/>
              </w:rPr>
              <w:tab/>
            </w:r>
            <w:r w:rsidR="00122B28">
              <w:rPr>
                <w:noProof/>
                <w:webHidden/>
              </w:rPr>
              <w:fldChar w:fldCharType="begin"/>
            </w:r>
            <w:r w:rsidR="00122B28">
              <w:rPr>
                <w:noProof/>
                <w:webHidden/>
              </w:rPr>
              <w:instrText xml:space="preserve"> PAGEREF _Toc398748828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9" w:history="1">
            <w:r w:rsidR="00122B28" w:rsidRPr="002E0AB4">
              <w:rPr>
                <w:rStyle w:val="Hyperlink"/>
                <w:noProof/>
              </w:rPr>
              <w:t>1.2</w:t>
            </w:r>
            <w:r w:rsidR="00122B28">
              <w:rPr>
                <w:rFonts w:asciiTheme="minorHAnsi" w:eastAsiaTheme="minorEastAsia" w:hAnsiTheme="minorHAnsi" w:cstheme="minorBidi"/>
                <w:smallCaps w:val="0"/>
                <w:noProof/>
                <w:sz w:val="22"/>
                <w:szCs w:val="22"/>
              </w:rPr>
              <w:tab/>
            </w:r>
            <w:r w:rsidR="00122B28" w:rsidRPr="002E0AB4">
              <w:rPr>
                <w:rStyle w:val="Hyperlink"/>
                <w:noProof/>
              </w:rPr>
              <w:t>Purpose</w:t>
            </w:r>
            <w:r w:rsidR="00122B28">
              <w:rPr>
                <w:noProof/>
                <w:webHidden/>
              </w:rPr>
              <w:tab/>
            </w:r>
            <w:r w:rsidR="00122B28">
              <w:rPr>
                <w:noProof/>
                <w:webHidden/>
              </w:rPr>
              <w:fldChar w:fldCharType="begin"/>
            </w:r>
            <w:r w:rsidR="00122B28">
              <w:rPr>
                <w:noProof/>
                <w:webHidden/>
              </w:rPr>
              <w:instrText xml:space="preserve"> PAGEREF _Toc398748829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0" w:history="1">
            <w:r w:rsidR="00122B28" w:rsidRPr="002E0AB4">
              <w:rPr>
                <w:rStyle w:val="Hyperlink"/>
                <w:noProof/>
              </w:rPr>
              <w:t>1.3</w:t>
            </w:r>
            <w:r w:rsidR="00122B28">
              <w:rPr>
                <w:rFonts w:asciiTheme="minorHAnsi" w:eastAsiaTheme="minorEastAsia" w:hAnsiTheme="minorHAnsi" w:cstheme="minorBidi"/>
                <w:smallCaps w:val="0"/>
                <w:noProof/>
                <w:sz w:val="22"/>
                <w:szCs w:val="22"/>
              </w:rPr>
              <w:tab/>
            </w:r>
            <w:r w:rsidR="00122B28" w:rsidRPr="002E0AB4">
              <w:rPr>
                <w:rStyle w:val="Hyperlink"/>
                <w:noProof/>
              </w:rPr>
              <w:t>Application</w:t>
            </w:r>
            <w:r w:rsidR="00122B28">
              <w:rPr>
                <w:noProof/>
                <w:webHidden/>
              </w:rPr>
              <w:tab/>
            </w:r>
            <w:r w:rsidR="00122B28">
              <w:rPr>
                <w:noProof/>
                <w:webHidden/>
              </w:rPr>
              <w:fldChar w:fldCharType="begin"/>
            </w:r>
            <w:r w:rsidR="00122B28">
              <w:rPr>
                <w:noProof/>
                <w:webHidden/>
              </w:rPr>
              <w:instrText xml:space="preserve"> PAGEREF _Toc398748830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1" w:history="1">
            <w:r w:rsidR="00122B28" w:rsidRPr="002E0AB4">
              <w:rPr>
                <w:rStyle w:val="Hyperlink"/>
                <w:noProof/>
              </w:rPr>
              <w:t>2.</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Informative References</w:t>
            </w:r>
            <w:r w:rsidR="00122B28">
              <w:rPr>
                <w:noProof/>
                <w:webHidden/>
              </w:rPr>
              <w:tab/>
            </w:r>
            <w:r w:rsidR="00122B28">
              <w:rPr>
                <w:noProof/>
                <w:webHidden/>
              </w:rPr>
              <w:fldChar w:fldCharType="begin"/>
            </w:r>
            <w:r w:rsidR="00122B28">
              <w:rPr>
                <w:noProof/>
                <w:webHidden/>
              </w:rPr>
              <w:instrText xml:space="preserve"> PAGEREF _Toc398748831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2" w:history="1">
            <w:r w:rsidR="00122B28" w:rsidRPr="002E0AB4">
              <w:rPr>
                <w:rStyle w:val="Hyperlink"/>
                <w:noProof/>
              </w:rPr>
              <w:t>3.</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Definitions, Acronyms, &amp; Abbreviations</w:t>
            </w:r>
            <w:r w:rsidR="00122B28">
              <w:rPr>
                <w:noProof/>
                <w:webHidden/>
              </w:rPr>
              <w:tab/>
            </w:r>
            <w:r w:rsidR="00122B28">
              <w:rPr>
                <w:noProof/>
                <w:webHidden/>
              </w:rPr>
              <w:fldChar w:fldCharType="begin"/>
            </w:r>
            <w:r w:rsidR="00122B28">
              <w:rPr>
                <w:noProof/>
                <w:webHidden/>
              </w:rPr>
              <w:instrText xml:space="preserve"> PAGEREF _Toc398748832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3" w:history="1">
            <w:r w:rsidR="00122B28" w:rsidRPr="002E0AB4">
              <w:rPr>
                <w:rStyle w:val="Hyperlink"/>
                <w:noProof/>
              </w:rPr>
              <w:t>3.1</w:t>
            </w:r>
            <w:r w:rsidR="00122B28">
              <w:rPr>
                <w:rFonts w:asciiTheme="minorHAnsi" w:eastAsiaTheme="minorEastAsia" w:hAnsiTheme="minorHAnsi" w:cstheme="minorBidi"/>
                <w:smallCaps w:val="0"/>
                <w:noProof/>
                <w:sz w:val="22"/>
                <w:szCs w:val="22"/>
              </w:rPr>
              <w:tab/>
            </w:r>
            <w:r w:rsidR="00122B28" w:rsidRPr="002E0AB4">
              <w:rPr>
                <w:rStyle w:val="Hyperlink"/>
                <w:noProof/>
              </w:rPr>
              <w:t>Definitions</w:t>
            </w:r>
            <w:r w:rsidR="00122B28">
              <w:rPr>
                <w:noProof/>
                <w:webHidden/>
              </w:rPr>
              <w:tab/>
            </w:r>
            <w:r w:rsidR="00122B28">
              <w:rPr>
                <w:noProof/>
                <w:webHidden/>
              </w:rPr>
              <w:fldChar w:fldCharType="begin"/>
            </w:r>
            <w:r w:rsidR="00122B28">
              <w:rPr>
                <w:noProof/>
                <w:webHidden/>
              </w:rPr>
              <w:instrText xml:space="preserve"> PAGEREF _Toc398748833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4" w:history="1">
            <w:r w:rsidR="00122B28" w:rsidRPr="002E0AB4">
              <w:rPr>
                <w:rStyle w:val="Hyperlink"/>
                <w:noProof/>
              </w:rPr>
              <w:t>3.2</w:t>
            </w:r>
            <w:r w:rsidR="00122B28">
              <w:rPr>
                <w:rFonts w:asciiTheme="minorHAnsi" w:eastAsiaTheme="minorEastAsia" w:hAnsiTheme="minorHAnsi" w:cstheme="minorBidi"/>
                <w:smallCaps w:val="0"/>
                <w:noProof/>
                <w:sz w:val="22"/>
                <w:szCs w:val="22"/>
              </w:rPr>
              <w:tab/>
            </w:r>
            <w:r w:rsidR="00122B28" w:rsidRPr="002E0AB4">
              <w:rPr>
                <w:rStyle w:val="Hyperlink"/>
                <w:noProof/>
              </w:rPr>
              <w:t>Acronyms &amp; Abbreviations</w:t>
            </w:r>
            <w:r w:rsidR="00122B28">
              <w:rPr>
                <w:noProof/>
                <w:webHidden/>
              </w:rPr>
              <w:tab/>
            </w:r>
            <w:r w:rsidR="00122B28">
              <w:rPr>
                <w:noProof/>
                <w:webHidden/>
              </w:rPr>
              <w:fldChar w:fldCharType="begin"/>
            </w:r>
            <w:r w:rsidR="00122B28">
              <w:rPr>
                <w:noProof/>
                <w:webHidden/>
              </w:rPr>
              <w:instrText xml:space="preserve"> PAGEREF _Toc398748834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5" w:history="1">
            <w:r w:rsidR="00122B28" w:rsidRPr="002E0AB4">
              <w:rPr>
                <w:rStyle w:val="Hyperlink"/>
                <w:noProof/>
              </w:rPr>
              <w:t>4.</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Aggregate Approaches Based on Existing NANP Data Structures</w:t>
            </w:r>
            <w:r w:rsidR="00122B28">
              <w:rPr>
                <w:noProof/>
                <w:webHidden/>
              </w:rPr>
              <w:tab/>
            </w:r>
            <w:r w:rsidR="00122B28">
              <w:rPr>
                <w:noProof/>
                <w:webHidden/>
              </w:rPr>
              <w:fldChar w:fldCharType="begin"/>
            </w:r>
            <w:r w:rsidR="00122B28">
              <w:rPr>
                <w:noProof/>
                <w:webHidden/>
              </w:rPr>
              <w:instrText xml:space="preserve"> PAGEREF _Toc398748835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6" w:history="1">
            <w:r w:rsidR="00122B28" w:rsidRPr="002E0AB4">
              <w:rPr>
                <w:rStyle w:val="Hyperlink"/>
                <w:noProof/>
              </w:rPr>
              <w:t>4.1</w:t>
            </w:r>
            <w:r w:rsidR="00122B28">
              <w:rPr>
                <w:rFonts w:asciiTheme="minorHAnsi" w:eastAsiaTheme="minorEastAsia" w:hAnsiTheme="minorHAnsi" w:cstheme="minorBidi"/>
                <w:smallCaps w:val="0"/>
                <w:noProof/>
                <w:sz w:val="22"/>
                <w:szCs w:val="22"/>
              </w:rPr>
              <w:tab/>
            </w:r>
            <w:r w:rsidR="00122B28" w:rsidRPr="002E0AB4">
              <w:rPr>
                <w:rStyle w:val="Hyperlink"/>
                <w:noProof/>
              </w:rPr>
              <w:t>In-Use Method Using Existing LERG and NPAC Data</w:t>
            </w:r>
            <w:r w:rsidR="00122B28">
              <w:rPr>
                <w:noProof/>
                <w:webHidden/>
              </w:rPr>
              <w:tab/>
            </w:r>
            <w:r w:rsidR="00122B28">
              <w:rPr>
                <w:noProof/>
                <w:webHidden/>
              </w:rPr>
              <w:fldChar w:fldCharType="begin"/>
            </w:r>
            <w:r w:rsidR="00122B28">
              <w:rPr>
                <w:noProof/>
                <w:webHidden/>
              </w:rPr>
              <w:instrText xml:space="preserve"> PAGEREF _Toc398748836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7" w:history="1">
            <w:r w:rsidR="00122B28" w:rsidRPr="002E0AB4">
              <w:rPr>
                <w:rStyle w:val="Hyperlink"/>
                <w:noProof/>
              </w:rPr>
              <w:t>4.1.1</w:t>
            </w:r>
            <w:r w:rsidR="00122B28">
              <w:rPr>
                <w:rFonts w:asciiTheme="minorHAnsi" w:eastAsiaTheme="minorEastAsia" w:hAnsiTheme="minorHAnsi" w:cstheme="minorBidi"/>
                <w:i w:val="0"/>
                <w:iCs w:val="0"/>
                <w:noProof/>
                <w:sz w:val="22"/>
                <w:szCs w:val="22"/>
              </w:rPr>
              <w:tab/>
            </w:r>
            <w:r w:rsidR="00122B28" w:rsidRPr="002E0AB4">
              <w:rPr>
                <w:rStyle w:val="Hyperlink"/>
                <w:noProof/>
              </w:rPr>
              <w:t>Introduction</w:t>
            </w:r>
            <w:r w:rsidR="00122B28">
              <w:rPr>
                <w:noProof/>
                <w:webHidden/>
              </w:rPr>
              <w:tab/>
            </w:r>
            <w:r w:rsidR="00122B28">
              <w:rPr>
                <w:noProof/>
                <w:webHidden/>
              </w:rPr>
              <w:fldChar w:fldCharType="begin"/>
            </w:r>
            <w:r w:rsidR="00122B28">
              <w:rPr>
                <w:noProof/>
                <w:webHidden/>
              </w:rPr>
              <w:instrText xml:space="preserve"> PAGEREF _Toc398748837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8" w:history="1">
            <w:r w:rsidR="00122B28" w:rsidRPr="002E0AB4">
              <w:rPr>
                <w:rStyle w:val="Hyperlink"/>
                <w:noProof/>
              </w:rPr>
              <w:t>4.1.2</w:t>
            </w:r>
            <w:r w:rsidR="00122B28">
              <w:rPr>
                <w:rFonts w:asciiTheme="minorHAnsi" w:eastAsiaTheme="minorEastAsia" w:hAnsiTheme="minorHAnsi" w:cstheme="minorBidi"/>
                <w:i w:val="0"/>
                <w:iCs w:val="0"/>
                <w:noProof/>
                <w:sz w:val="22"/>
                <w:szCs w:val="22"/>
              </w:rPr>
              <w:tab/>
            </w:r>
            <w:r w:rsidR="00122B28" w:rsidRPr="002E0AB4">
              <w:rPr>
                <w:rStyle w:val="Hyperlink"/>
                <w:noProof/>
              </w:rPr>
              <w:t>- Use Cases</w:t>
            </w:r>
            <w:r w:rsidR="00122B28">
              <w:rPr>
                <w:noProof/>
                <w:webHidden/>
              </w:rPr>
              <w:tab/>
            </w:r>
            <w:r w:rsidR="00122B28">
              <w:rPr>
                <w:noProof/>
                <w:webHidden/>
              </w:rPr>
              <w:fldChar w:fldCharType="begin"/>
            </w:r>
            <w:r w:rsidR="00122B28">
              <w:rPr>
                <w:noProof/>
                <w:webHidden/>
              </w:rPr>
              <w:instrText xml:space="preserve"> PAGEREF _Toc398748838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9" w:history="1">
            <w:r w:rsidR="00122B28" w:rsidRPr="002E0AB4">
              <w:rPr>
                <w:rStyle w:val="Hyperlink"/>
                <w:noProof/>
              </w:rPr>
              <w:t>4.1.3</w:t>
            </w:r>
            <w:r w:rsidR="00122B28">
              <w:rPr>
                <w:rFonts w:asciiTheme="minorHAnsi" w:eastAsiaTheme="minorEastAsia" w:hAnsiTheme="minorHAnsi" w:cstheme="minorBidi"/>
                <w:i w:val="0"/>
                <w:iCs w:val="0"/>
                <w:noProof/>
                <w:sz w:val="22"/>
                <w:szCs w:val="22"/>
              </w:rPr>
              <w:tab/>
            </w:r>
            <w:r w:rsidR="00122B28" w:rsidRPr="002E0AB4">
              <w:rPr>
                <w:rStyle w:val="Hyperlink"/>
                <w:noProof/>
              </w:rPr>
              <w:t>Implementation</w:t>
            </w:r>
            <w:r w:rsidR="00122B28">
              <w:rPr>
                <w:noProof/>
                <w:webHidden/>
              </w:rPr>
              <w:tab/>
            </w:r>
            <w:r w:rsidR="00122B28">
              <w:rPr>
                <w:noProof/>
                <w:webHidden/>
              </w:rPr>
              <w:fldChar w:fldCharType="begin"/>
            </w:r>
            <w:r w:rsidR="00122B28">
              <w:rPr>
                <w:noProof/>
                <w:webHidden/>
              </w:rPr>
              <w:instrText xml:space="preserve"> PAGEREF _Toc398748839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0" w:history="1">
            <w:r w:rsidR="00122B28" w:rsidRPr="002E0AB4">
              <w:rPr>
                <w:rStyle w:val="Hyperlink"/>
                <w:noProof/>
              </w:rPr>
              <w:t>4.1.4</w:t>
            </w:r>
            <w:r w:rsidR="00122B28">
              <w:rPr>
                <w:rFonts w:asciiTheme="minorHAnsi" w:eastAsiaTheme="minorEastAsia" w:hAnsiTheme="minorHAnsi" w:cstheme="minorBidi"/>
                <w:i w:val="0"/>
                <w:iCs w:val="0"/>
                <w:noProof/>
                <w:sz w:val="22"/>
                <w:szCs w:val="22"/>
              </w:rPr>
              <w:tab/>
            </w:r>
            <w:r w:rsidR="00122B28" w:rsidRPr="002E0AB4">
              <w:rPr>
                <w:rStyle w:val="Hyperlink"/>
                <w:noProof/>
              </w:rPr>
              <w:t>- Provisioning</w:t>
            </w:r>
            <w:r w:rsidR="00122B28">
              <w:rPr>
                <w:noProof/>
                <w:webHidden/>
              </w:rPr>
              <w:tab/>
            </w:r>
            <w:r w:rsidR="00122B28">
              <w:rPr>
                <w:noProof/>
                <w:webHidden/>
              </w:rPr>
              <w:fldChar w:fldCharType="begin"/>
            </w:r>
            <w:r w:rsidR="00122B28">
              <w:rPr>
                <w:noProof/>
                <w:webHidden/>
              </w:rPr>
              <w:instrText xml:space="preserve"> PAGEREF _Toc398748840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1" w:history="1">
            <w:r w:rsidR="00122B28" w:rsidRPr="002E0AB4">
              <w:rPr>
                <w:rStyle w:val="Hyperlink"/>
                <w:noProof/>
              </w:rPr>
              <w:t>4.1.5</w:t>
            </w:r>
            <w:r w:rsidR="00122B28">
              <w:rPr>
                <w:rFonts w:asciiTheme="minorHAnsi" w:eastAsiaTheme="minorEastAsia" w:hAnsiTheme="minorHAnsi" w:cstheme="minorBidi"/>
                <w:i w:val="0"/>
                <w:iCs w:val="0"/>
                <w:noProof/>
                <w:sz w:val="22"/>
                <w:szCs w:val="22"/>
              </w:rPr>
              <w:tab/>
            </w:r>
            <w:r w:rsidR="00122B28" w:rsidRPr="002E0AB4">
              <w:rPr>
                <w:rStyle w:val="Hyperlink"/>
                <w:noProof/>
              </w:rPr>
              <w:t>- Call Flow</w:t>
            </w:r>
            <w:r w:rsidR="00122B28">
              <w:rPr>
                <w:noProof/>
                <w:webHidden/>
              </w:rPr>
              <w:tab/>
            </w:r>
            <w:r w:rsidR="00122B28">
              <w:rPr>
                <w:noProof/>
                <w:webHidden/>
              </w:rPr>
              <w:fldChar w:fldCharType="begin"/>
            </w:r>
            <w:r w:rsidR="00122B28">
              <w:rPr>
                <w:noProof/>
                <w:webHidden/>
              </w:rPr>
              <w:instrText xml:space="preserve"> PAGEREF _Toc398748841 \h </w:instrText>
            </w:r>
            <w:r w:rsidR="00122B28">
              <w:rPr>
                <w:noProof/>
                <w:webHidden/>
              </w:rPr>
            </w:r>
            <w:r w:rsidR="00122B28">
              <w:rPr>
                <w:noProof/>
                <w:webHidden/>
              </w:rPr>
              <w:fldChar w:fldCharType="separate"/>
            </w:r>
            <w:r w:rsidR="00122B28">
              <w:rPr>
                <w:noProof/>
                <w:webHidden/>
              </w:rPr>
              <w:t>11</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2" w:history="1">
            <w:r w:rsidR="00122B28" w:rsidRPr="002E0AB4">
              <w:rPr>
                <w:rStyle w:val="Hyperlink"/>
                <w:noProof/>
              </w:rPr>
              <w:t>4.2</w:t>
            </w:r>
            <w:r w:rsidR="00122B28">
              <w:rPr>
                <w:rFonts w:asciiTheme="minorHAnsi" w:eastAsiaTheme="minorEastAsia" w:hAnsiTheme="minorHAnsi" w:cstheme="minorBidi"/>
                <w:smallCaps w:val="0"/>
                <w:noProof/>
                <w:sz w:val="22"/>
                <w:szCs w:val="22"/>
              </w:rPr>
              <w:tab/>
            </w:r>
            <w:r w:rsidR="00122B28" w:rsidRPr="002E0AB4">
              <w:rPr>
                <w:rStyle w:val="Hyperlink"/>
                <w:noProof/>
              </w:rPr>
              <w:t xml:space="preserve"> In-Use Method with LERG Enhancements</w:t>
            </w:r>
            <w:r w:rsidR="00122B28">
              <w:rPr>
                <w:noProof/>
                <w:webHidden/>
              </w:rPr>
              <w:tab/>
            </w:r>
            <w:r w:rsidR="00122B28">
              <w:rPr>
                <w:noProof/>
                <w:webHidden/>
              </w:rPr>
              <w:fldChar w:fldCharType="begin"/>
            </w:r>
            <w:r w:rsidR="00122B28">
              <w:rPr>
                <w:noProof/>
                <w:webHidden/>
              </w:rPr>
              <w:instrText xml:space="preserve"> PAGEREF _Toc398748842 \h </w:instrText>
            </w:r>
            <w:r w:rsidR="00122B28">
              <w:rPr>
                <w:noProof/>
                <w:webHidden/>
              </w:rPr>
            </w:r>
            <w:r w:rsidR="00122B28">
              <w:rPr>
                <w:noProof/>
                <w:webHidden/>
              </w:rPr>
              <w:fldChar w:fldCharType="separate"/>
            </w:r>
            <w:r w:rsidR="00122B28">
              <w:rPr>
                <w:noProof/>
                <w:webHidden/>
              </w:rPr>
              <w:t>12</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3" w:history="1">
            <w:r w:rsidR="00122B28" w:rsidRPr="002E0AB4">
              <w:rPr>
                <w:rStyle w:val="Hyperlink"/>
                <w:rFonts w:cs="Arial"/>
                <w:noProof/>
                <w:lang w:val="it-IT" w:eastAsia="it-IT"/>
              </w:rPr>
              <w:t>4.2.1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_Toc398748843 \h </w:instrText>
            </w:r>
            <w:r w:rsidR="00122B28">
              <w:rPr>
                <w:noProof/>
                <w:webHidden/>
              </w:rPr>
            </w:r>
            <w:r w:rsidR="00122B28">
              <w:rPr>
                <w:noProof/>
                <w:webHidden/>
              </w:rPr>
              <w:fldChar w:fldCharType="separate"/>
            </w:r>
            <w:r w:rsidR="00122B28">
              <w:rPr>
                <w:noProof/>
                <w:webHidden/>
              </w:rPr>
              <w:t>14</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4" w:history="1">
            <w:r w:rsidR="00122B28" w:rsidRPr="002E0AB4">
              <w:rPr>
                <w:rStyle w:val="Hyperlink"/>
                <w:rFonts w:cs="Arial"/>
                <w:bCs/>
                <w:noProof/>
                <w:lang w:val="it-IT" w:eastAsia="it-IT"/>
              </w:rPr>
              <w:t>4.2.2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 xml:space="preserve">Provisioning </w:t>
            </w:r>
            <w:r w:rsidR="00122B28">
              <w:rPr>
                <w:noProof/>
                <w:webHidden/>
              </w:rPr>
              <w:tab/>
            </w:r>
            <w:r w:rsidR="00122B28">
              <w:rPr>
                <w:noProof/>
                <w:webHidden/>
              </w:rPr>
              <w:fldChar w:fldCharType="begin"/>
            </w:r>
            <w:r w:rsidR="00122B28">
              <w:rPr>
                <w:noProof/>
                <w:webHidden/>
              </w:rPr>
              <w:instrText xml:space="preserve"> PAGEREF _Toc398748844 \h </w:instrText>
            </w:r>
            <w:r w:rsidR="00122B28">
              <w:rPr>
                <w:noProof/>
                <w:webHidden/>
              </w:rPr>
            </w:r>
            <w:r w:rsidR="00122B28">
              <w:rPr>
                <w:noProof/>
                <w:webHidden/>
              </w:rPr>
              <w:fldChar w:fldCharType="separate"/>
            </w:r>
            <w:r w:rsidR="00122B28">
              <w:rPr>
                <w:noProof/>
                <w:webHidden/>
              </w:rPr>
              <w:t>16</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5" w:history="1">
            <w:r w:rsidR="00122B28" w:rsidRPr="002E0AB4">
              <w:rPr>
                <w:rStyle w:val="Hyperlink"/>
                <w:rFonts w:cs="Arial"/>
                <w:bCs/>
                <w:noProof/>
                <w:lang w:val="it-IT" w:eastAsia="it-IT"/>
              </w:rPr>
              <w:t>4.2.3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_Toc398748845 \h </w:instrText>
            </w:r>
            <w:r w:rsidR="00122B28">
              <w:rPr>
                <w:noProof/>
                <w:webHidden/>
              </w:rPr>
            </w:r>
            <w:r w:rsidR="00122B28">
              <w:rPr>
                <w:noProof/>
                <w:webHidden/>
              </w:rPr>
              <w:fldChar w:fldCharType="separate"/>
            </w:r>
            <w:r w:rsidR="00122B28">
              <w:rPr>
                <w:noProof/>
                <w:webHidden/>
              </w:rPr>
              <w:t>17</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6" w:history="1">
            <w:r w:rsidR="00122B28" w:rsidRPr="002E0AB4">
              <w:rPr>
                <w:rStyle w:val="Hyperlink"/>
                <w:noProof/>
              </w:rPr>
              <w:t>4.3</w:t>
            </w:r>
            <w:r w:rsidR="00122B28">
              <w:rPr>
                <w:rFonts w:asciiTheme="minorHAnsi" w:eastAsiaTheme="minorEastAsia" w:hAnsiTheme="minorHAnsi" w:cstheme="minorBidi"/>
                <w:smallCaps w:val="0"/>
                <w:noProof/>
                <w:sz w:val="22"/>
                <w:szCs w:val="22"/>
              </w:rPr>
              <w:tab/>
            </w:r>
            <w:r w:rsidR="00122B28" w:rsidRPr="002E0AB4">
              <w:rPr>
                <w:rStyle w:val="Hyperlink"/>
                <w:noProof/>
              </w:rPr>
              <w:t>Enhancing LERG to provide a Tier 1 ENUM Registry</w:t>
            </w:r>
            <w:r w:rsidR="00122B28">
              <w:rPr>
                <w:noProof/>
                <w:webHidden/>
              </w:rPr>
              <w:tab/>
            </w:r>
            <w:r w:rsidR="00122B28">
              <w:rPr>
                <w:noProof/>
                <w:webHidden/>
              </w:rPr>
              <w:fldChar w:fldCharType="begin"/>
            </w:r>
            <w:r w:rsidR="00122B28">
              <w:rPr>
                <w:noProof/>
                <w:webHidden/>
              </w:rPr>
              <w:instrText xml:space="preserve"> PAGEREF _Toc398748846 \h </w:instrText>
            </w:r>
            <w:r w:rsidR="00122B28">
              <w:rPr>
                <w:noProof/>
                <w:webHidden/>
              </w:rPr>
            </w:r>
            <w:r w:rsidR="00122B28">
              <w:rPr>
                <w:noProof/>
                <w:webHidden/>
              </w:rPr>
              <w:fldChar w:fldCharType="separate"/>
            </w:r>
            <w:r w:rsidR="00122B28">
              <w:rPr>
                <w:noProof/>
                <w:webHidden/>
              </w:rPr>
              <w:t>18</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7" w:history="1">
            <w:r w:rsidR="00122B28" w:rsidRPr="002E0AB4">
              <w:rPr>
                <w:rStyle w:val="Hyperlink"/>
                <w:rFonts w:cs="Arial"/>
                <w:noProof/>
                <w:lang w:val="it-IT" w:eastAsia="it-IT"/>
              </w:rPr>
              <w:t>4.3.1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_Toc398748847 \h </w:instrText>
            </w:r>
            <w:r w:rsidR="00122B28">
              <w:rPr>
                <w:noProof/>
                <w:webHidden/>
              </w:rPr>
            </w:r>
            <w:r w:rsidR="00122B28">
              <w:rPr>
                <w:noProof/>
                <w:webHidden/>
              </w:rPr>
              <w:fldChar w:fldCharType="separate"/>
            </w:r>
            <w:r w:rsidR="00122B28">
              <w:rPr>
                <w:noProof/>
                <w:webHidden/>
              </w:rPr>
              <w:t>19</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8" w:history="1">
            <w:r w:rsidR="00122B28" w:rsidRPr="002E0AB4">
              <w:rPr>
                <w:rStyle w:val="Hyperlink"/>
                <w:rFonts w:cs="Arial"/>
                <w:noProof/>
                <w:lang w:val="it-IT" w:eastAsia="it-IT"/>
              </w:rPr>
              <w:t>4.3.2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_Toc398748848 \h </w:instrText>
            </w:r>
            <w:r w:rsidR="00122B28">
              <w:rPr>
                <w:noProof/>
                <w:webHidden/>
              </w:rPr>
            </w:r>
            <w:r w:rsidR="00122B28">
              <w:rPr>
                <w:noProof/>
                <w:webHidden/>
              </w:rPr>
              <w:fldChar w:fldCharType="separate"/>
            </w:r>
            <w:r w:rsidR="00122B28">
              <w:rPr>
                <w:noProof/>
                <w:webHidden/>
              </w:rPr>
              <w:t>20</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9" w:history="1">
            <w:r w:rsidR="00122B28" w:rsidRPr="002E0AB4">
              <w:rPr>
                <w:rStyle w:val="Hyperlink"/>
                <w:rFonts w:cs="Arial"/>
                <w:bCs/>
                <w:noProof/>
                <w:lang w:val="it-IT" w:eastAsia="it-IT"/>
              </w:rPr>
              <w:t>4.3.3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_Toc398748849 \h </w:instrText>
            </w:r>
            <w:r w:rsidR="00122B28">
              <w:rPr>
                <w:noProof/>
                <w:webHidden/>
              </w:rPr>
            </w:r>
            <w:r w:rsidR="00122B28">
              <w:rPr>
                <w:noProof/>
                <w:webHidden/>
              </w:rPr>
              <w:fldChar w:fldCharType="separate"/>
            </w:r>
            <w:r w:rsidR="00122B28">
              <w:rPr>
                <w:noProof/>
                <w:webHidden/>
              </w:rPr>
              <w:t>21</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50" w:history="1">
            <w:r w:rsidR="00122B28" w:rsidRPr="002E0AB4">
              <w:rPr>
                <w:rStyle w:val="Hyperlink"/>
                <w:noProof/>
              </w:rPr>
              <w:t>5.</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Per-TN Overview and Approaches</w:t>
            </w:r>
            <w:r w:rsidR="00122B28">
              <w:rPr>
                <w:noProof/>
                <w:webHidden/>
              </w:rPr>
              <w:tab/>
            </w:r>
            <w:r w:rsidR="00122B28">
              <w:rPr>
                <w:noProof/>
                <w:webHidden/>
              </w:rPr>
              <w:fldChar w:fldCharType="begin"/>
            </w:r>
            <w:r w:rsidR="00122B28">
              <w:rPr>
                <w:noProof/>
                <w:webHidden/>
              </w:rPr>
              <w:instrText xml:space="preserve"> PAGEREF _Toc398748850 \h </w:instrText>
            </w:r>
            <w:r w:rsidR="00122B28">
              <w:rPr>
                <w:noProof/>
                <w:webHidden/>
              </w:rPr>
            </w:r>
            <w:r w:rsidR="00122B28">
              <w:rPr>
                <w:noProof/>
                <w:webHidden/>
              </w:rPr>
              <w:fldChar w:fldCharType="separate"/>
            </w:r>
            <w:r w:rsidR="00122B28">
              <w:rPr>
                <w:noProof/>
                <w:webHidden/>
              </w:rPr>
              <w:t>22</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1" w:history="1">
            <w:r w:rsidR="00122B28" w:rsidRPr="002E0AB4">
              <w:rPr>
                <w:rStyle w:val="Hyperlink"/>
                <w:noProof/>
              </w:rPr>
              <w:t>5.1</w:t>
            </w:r>
            <w:r w:rsidR="00122B28">
              <w:rPr>
                <w:rFonts w:asciiTheme="minorHAnsi" w:eastAsiaTheme="minorEastAsia" w:hAnsiTheme="minorHAnsi" w:cstheme="minorBidi"/>
                <w:smallCaps w:val="0"/>
                <w:noProof/>
                <w:sz w:val="22"/>
                <w:szCs w:val="22"/>
              </w:rPr>
              <w:tab/>
            </w:r>
            <w:r w:rsidR="00122B28" w:rsidRPr="002E0AB4">
              <w:rPr>
                <w:rStyle w:val="Hyperlink"/>
                <w:noProof/>
              </w:rPr>
              <w:t>NPAC TN Registry</w:t>
            </w:r>
            <w:r w:rsidR="00122B28">
              <w:rPr>
                <w:noProof/>
                <w:webHidden/>
              </w:rPr>
              <w:tab/>
            </w:r>
            <w:r w:rsidR="00122B28">
              <w:rPr>
                <w:noProof/>
                <w:webHidden/>
              </w:rPr>
              <w:fldChar w:fldCharType="begin"/>
            </w:r>
            <w:r w:rsidR="00122B28">
              <w:rPr>
                <w:noProof/>
                <w:webHidden/>
              </w:rPr>
              <w:instrText xml:space="preserve"> PAGEREF _Toc398748851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2" w:history="1">
            <w:r w:rsidR="00122B28" w:rsidRPr="002E0AB4">
              <w:rPr>
                <w:rStyle w:val="Hyperlink"/>
                <w:rFonts w:cs="Arial"/>
                <w:bCs/>
                <w:noProof/>
                <w:lang w:val="it-IT" w:eastAsia="it-IT"/>
              </w:rPr>
              <w:t>5.1.1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_Toc398748852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3" w:history="1">
            <w:r w:rsidR="00122B28" w:rsidRPr="002E0AB4">
              <w:rPr>
                <w:rStyle w:val="Hyperlink"/>
                <w:rFonts w:cs="Arial"/>
                <w:bCs/>
                <w:noProof/>
                <w:lang w:val="it-IT" w:eastAsia="it-IT"/>
              </w:rPr>
              <w:t>5.1.2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_Toc398748853 \h </w:instrText>
            </w:r>
            <w:r w:rsidR="00122B28">
              <w:rPr>
                <w:noProof/>
                <w:webHidden/>
              </w:rPr>
            </w:r>
            <w:r w:rsidR="00122B28">
              <w:rPr>
                <w:noProof/>
                <w:webHidden/>
              </w:rPr>
              <w:fldChar w:fldCharType="separate"/>
            </w:r>
            <w:r w:rsidR="00122B28">
              <w:rPr>
                <w:noProof/>
                <w:webHidden/>
              </w:rPr>
              <w:t>26</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4" w:history="1">
            <w:r w:rsidR="00122B28" w:rsidRPr="002E0AB4">
              <w:rPr>
                <w:rStyle w:val="Hyperlink"/>
                <w:noProof/>
              </w:rPr>
              <w:t>5.2</w:t>
            </w:r>
            <w:r w:rsidR="00122B28">
              <w:rPr>
                <w:rFonts w:asciiTheme="minorHAnsi" w:eastAsiaTheme="minorEastAsia" w:hAnsiTheme="minorHAnsi" w:cstheme="minorBidi"/>
                <w:smallCaps w:val="0"/>
                <w:noProof/>
                <w:sz w:val="22"/>
                <w:szCs w:val="22"/>
              </w:rPr>
              <w:tab/>
            </w:r>
            <w:r w:rsidR="00122B28" w:rsidRPr="002E0AB4">
              <w:rPr>
                <w:rStyle w:val="Hyperlink"/>
                <w:noProof/>
              </w:rPr>
              <w:t>The NPAC as a Tier 1 ENUM Registry</w:t>
            </w:r>
            <w:r w:rsidR="00122B28">
              <w:rPr>
                <w:noProof/>
                <w:webHidden/>
              </w:rPr>
              <w:tab/>
            </w:r>
            <w:r w:rsidR="00122B28">
              <w:rPr>
                <w:noProof/>
                <w:webHidden/>
              </w:rPr>
              <w:fldChar w:fldCharType="begin"/>
            </w:r>
            <w:r w:rsidR="00122B28">
              <w:rPr>
                <w:noProof/>
                <w:webHidden/>
              </w:rPr>
              <w:instrText xml:space="preserve"> PAGEREF _Toc398748854 \h </w:instrText>
            </w:r>
            <w:r w:rsidR="00122B28">
              <w:rPr>
                <w:noProof/>
                <w:webHidden/>
              </w:rPr>
            </w:r>
            <w:r w:rsidR="00122B28">
              <w:rPr>
                <w:noProof/>
                <w:webHidden/>
              </w:rPr>
              <w:fldChar w:fldCharType="separate"/>
            </w:r>
            <w:r w:rsidR="00122B28">
              <w:rPr>
                <w:noProof/>
                <w:webHidden/>
              </w:rPr>
              <w:t>27</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5" w:history="1">
            <w:r w:rsidR="00122B28" w:rsidRPr="002E0AB4">
              <w:rPr>
                <w:rStyle w:val="Hyperlink"/>
                <w:rFonts w:cs="Arial"/>
                <w:bCs/>
                <w:noProof/>
                <w:lang w:val="it-IT" w:eastAsia="it-IT"/>
              </w:rPr>
              <w:t>5.2.1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_Toc398748855 \h </w:instrText>
            </w:r>
            <w:r w:rsidR="00122B28">
              <w:rPr>
                <w:noProof/>
                <w:webHidden/>
              </w:rPr>
            </w:r>
            <w:r w:rsidR="00122B28">
              <w:rPr>
                <w:noProof/>
                <w:webHidden/>
              </w:rPr>
              <w:fldChar w:fldCharType="separate"/>
            </w:r>
            <w:r w:rsidR="00122B28">
              <w:rPr>
                <w:noProof/>
                <w:webHidden/>
              </w:rPr>
              <w:t>28</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6" w:history="1">
            <w:r w:rsidR="00122B28" w:rsidRPr="002E0AB4">
              <w:rPr>
                <w:rStyle w:val="Hyperlink"/>
                <w:rFonts w:cs="Arial"/>
                <w:bCs/>
                <w:noProof/>
                <w:lang w:val="it-IT" w:eastAsia="it-IT"/>
              </w:rPr>
              <w:t>5.2.2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_Toc398748856 \h </w:instrText>
            </w:r>
            <w:r w:rsidR="00122B28">
              <w:rPr>
                <w:noProof/>
                <w:webHidden/>
              </w:rPr>
            </w:r>
            <w:r w:rsidR="00122B28">
              <w:rPr>
                <w:noProof/>
                <w:webHidden/>
              </w:rPr>
              <w:fldChar w:fldCharType="separate"/>
            </w:r>
            <w:r w:rsidR="00122B28">
              <w:rPr>
                <w:noProof/>
                <w:webHidden/>
              </w:rPr>
              <w:t>30</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7" w:history="1">
            <w:r w:rsidR="00122B28" w:rsidRPr="002E0AB4">
              <w:rPr>
                <w:rStyle w:val="Hyperlink"/>
                <w:rFonts w:cs="Arial"/>
                <w:bCs/>
                <w:noProof/>
                <w:lang w:val="it-IT" w:eastAsia="it-IT"/>
              </w:rPr>
              <w:t>5.2.3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_Toc398748857 \h </w:instrText>
            </w:r>
            <w:r w:rsidR="00122B28">
              <w:rPr>
                <w:noProof/>
                <w:webHidden/>
              </w:rPr>
            </w:r>
            <w:r w:rsidR="00122B28">
              <w:rPr>
                <w:noProof/>
                <w:webHidden/>
              </w:rPr>
              <w:fldChar w:fldCharType="separate"/>
            </w:r>
            <w:r w:rsidR="00122B28">
              <w:rPr>
                <w:noProof/>
                <w:webHidden/>
              </w:rPr>
              <w:t>31</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2" w:history="1">
            <w:r w:rsidR="00122B28" w:rsidRPr="002E0AB4">
              <w:rPr>
                <w:rStyle w:val="Hyperlink"/>
                <w:noProof/>
              </w:rPr>
              <w:t>5.3</w:t>
            </w:r>
            <w:r w:rsidR="00122B28">
              <w:rPr>
                <w:rFonts w:asciiTheme="minorHAnsi" w:eastAsiaTheme="minorEastAsia" w:hAnsiTheme="minorHAnsi" w:cstheme="minorBidi"/>
                <w:smallCaps w:val="0"/>
                <w:noProof/>
                <w:sz w:val="22"/>
                <w:szCs w:val="22"/>
              </w:rPr>
              <w:tab/>
            </w:r>
            <w:r w:rsidR="00122B28" w:rsidRPr="002E0AB4">
              <w:rPr>
                <w:rStyle w:val="Hyperlink"/>
                <w:noProof/>
              </w:rPr>
              <w:t>Independent ENUM Registry</w:t>
            </w:r>
            <w:r w:rsidR="00122B28">
              <w:rPr>
                <w:noProof/>
                <w:webHidden/>
              </w:rPr>
              <w:tab/>
            </w:r>
            <w:r w:rsidR="00122B28">
              <w:rPr>
                <w:noProof/>
                <w:webHidden/>
              </w:rPr>
              <w:fldChar w:fldCharType="begin"/>
            </w:r>
            <w:r w:rsidR="00122B28">
              <w:rPr>
                <w:noProof/>
                <w:webHidden/>
              </w:rPr>
              <w:instrText xml:space="preserve"> PAGEREF _Toc398748862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3" w:history="1">
            <w:r w:rsidR="00122B28" w:rsidRPr="002E0AB4">
              <w:rPr>
                <w:rStyle w:val="Hyperlink"/>
                <w:rFonts w:cs="Arial"/>
                <w:bCs/>
                <w:noProof/>
                <w:lang w:val="it-IT" w:eastAsia="it-IT"/>
              </w:rPr>
              <w:t>5.3.1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_Toc398748863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4" w:history="1">
            <w:r w:rsidR="00122B28" w:rsidRPr="002E0AB4">
              <w:rPr>
                <w:rStyle w:val="Hyperlink"/>
                <w:rFonts w:cs="Arial"/>
                <w:bCs/>
                <w:noProof/>
                <w:lang w:val="it-IT" w:eastAsia="it-IT"/>
              </w:rPr>
              <w:t>5.3.2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_Toc398748864 \h </w:instrText>
            </w:r>
            <w:r w:rsidR="00122B28">
              <w:rPr>
                <w:noProof/>
                <w:webHidden/>
              </w:rPr>
            </w:r>
            <w:r w:rsidR="00122B28">
              <w:rPr>
                <w:noProof/>
                <w:webHidden/>
              </w:rPr>
              <w:fldChar w:fldCharType="separate"/>
            </w:r>
            <w:r w:rsidR="00122B28">
              <w:rPr>
                <w:noProof/>
                <w:webHidden/>
              </w:rPr>
              <w:t>34</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5" w:history="1">
            <w:r w:rsidR="00122B28" w:rsidRPr="002E0AB4">
              <w:rPr>
                <w:rStyle w:val="Hyperlink"/>
                <w:rFonts w:cs="Arial"/>
                <w:bCs/>
                <w:noProof/>
                <w:lang w:val="it-IT" w:eastAsia="it-IT"/>
              </w:rPr>
              <w:t>5.3.3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_Toc398748865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6" w:history="1">
            <w:r w:rsidR="00122B28" w:rsidRPr="002E0AB4">
              <w:rPr>
                <w:rStyle w:val="Hyperlink"/>
                <w:noProof/>
              </w:rPr>
              <w:t>5.4</w:t>
            </w:r>
            <w:r w:rsidR="00122B28">
              <w:rPr>
                <w:rFonts w:asciiTheme="minorHAnsi" w:eastAsiaTheme="minorEastAsia" w:hAnsiTheme="minorHAnsi" w:cstheme="minorBidi"/>
                <w:smallCaps w:val="0"/>
                <w:noProof/>
                <w:sz w:val="22"/>
                <w:szCs w:val="22"/>
              </w:rPr>
              <w:tab/>
            </w:r>
            <w:r w:rsidR="00122B28" w:rsidRPr="002E0AB4">
              <w:rPr>
                <w:rStyle w:val="Hyperlink"/>
                <w:noProof/>
              </w:rPr>
              <w:t>Per-TN implementation – without the use of shared industry infrastructure</w:t>
            </w:r>
            <w:r w:rsidR="00122B28">
              <w:rPr>
                <w:noProof/>
                <w:webHidden/>
              </w:rPr>
              <w:tab/>
            </w:r>
            <w:r w:rsidR="00122B28">
              <w:rPr>
                <w:noProof/>
                <w:webHidden/>
              </w:rPr>
              <w:fldChar w:fldCharType="begin"/>
            </w:r>
            <w:r w:rsidR="00122B28">
              <w:rPr>
                <w:noProof/>
                <w:webHidden/>
              </w:rPr>
              <w:instrText xml:space="preserve"> PAGEREF _Toc398748866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7" w:history="1">
            <w:r w:rsidR="00122B28" w:rsidRPr="002E0AB4">
              <w:rPr>
                <w:rStyle w:val="Hyperlink"/>
                <w:rFonts w:cs="Arial"/>
                <w:bCs/>
                <w:noProof/>
                <w:lang w:val="it-IT" w:eastAsia="it-IT"/>
              </w:rPr>
              <w:t>5.4.1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_Toc398748867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8" w:history="1">
            <w:r w:rsidR="00122B28" w:rsidRPr="002E0AB4">
              <w:rPr>
                <w:rStyle w:val="Hyperlink"/>
                <w:rFonts w:cs="Arial"/>
                <w:bCs/>
                <w:noProof/>
                <w:lang w:val="it-IT" w:eastAsia="it-IT"/>
              </w:rPr>
              <w:t>5.4.2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_Toc398748868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9" w:history="1">
            <w:r w:rsidR="00122B28" w:rsidRPr="002E0AB4">
              <w:rPr>
                <w:rStyle w:val="Hyperlink"/>
                <w:rFonts w:cs="Arial"/>
                <w:noProof/>
                <w:lang w:val="it-IT" w:eastAsia="it-IT"/>
              </w:rPr>
              <w:t>5.4.3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_Toc398748869 \h </w:instrText>
            </w:r>
            <w:r w:rsidR="00122B28">
              <w:rPr>
                <w:noProof/>
                <w:webHidden/>
              </w:rPr>
            </w:r>
            <w:r w:rsidR="00122B28">
              <w:rPr>
                <w:noProof/>
                <w:webHidden/>
              </w:rPr>
              <w:fldChar w:fldCharType="separate"/>
            </w:r>
            <w:r w:rsidR="00122B28">
              <w:rPr>
                <w:noProof/>
                <w:webHidden/>
              </w:rPr>
              <w:t>36</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0" w:history="1">
            <w:r w:rsidR="00122B28" w:rsidRPr="002E0AB4">
              <w:rPr>
                <w:rStyle w:val="Hyperlink"/>
                <w:noProof/>
              </w:rPr>
              <w:t>5.5</w:t>
            </w:r>
            <w:r w:rsidR="00122B28">
              <w:rPr>
                <w:rFonts w:asciiTheme="minorHAnsi" w:eastAsiaTheme="minorEastAsia" w:hAnsiTheme="minorHAnsi" w:cstheme="minorBidi"/>
                <w:smallCaps w:val="0"/>
                <w:noProof/>
                <w:sz w:val="22"/>
                <w:szCs w:val="22"/>
              </w:rPr>
              <w:tab/>
            </w:r>
            <w:r w:rsidR="00122B28" w:rsidRPr="002E0AB4">
              <w:rPr>
                <w:rStyle w:val="Hyperlink"/>
                <w:noProof/>
              </w:rPr>
              <w:t>Per-TN Routing Implementation - Query Using Independent Service Bureaus</w:t>
            </w:r>
            <w:r w:rsidR="00122B28">
              <w:rPr>
                <w:noProof/>
                <w:webHidden/>
              </w:rPr>
              <w:tab/>
            </w:r>
            <w:r w:rsidR="00122B28">
              <w:rPr>
                <w:noProof/>
                <w:webHidden/>
              </w:rPr>
              <w:fldChar w:fldCharType="begin"/>
            </w:r>
            <w:r w:rsidR="00122B28">
              <w:rPr>
                <w:noProof/>
                <w:webHidden/>
              </w:rPr>
              <w:instrText xml:space="preserve"> PAGEREF _Toc398748870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1" w:history="1">
            <w:r w:rsidR="00122B28" w:rsidRPr="002E0AB4">
              <w:rPr>
                <w:rStyle w:val="Hyperlink"/>
                <w:rFonts w:cs="Arial"/>
                <w:noProof/>
                <w:lang w:val="it-IT" w:eastAsia="it-IT"/>
              </w:rPr>
              <w:t>5.5.1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_Toc398748871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2" w:history="1">
            <w:r w:rsidR="00122B28" w:rsidRPr="002E0AB4">
              <w:rPr>
                <w:rStyle w:val="Hyperlink"/>
                <w:rFonts w:cs="Arial"/>
                <w:noProof/>
                <w:lang w:val="it-IT" w:eastAsia="it-IT"/>
              </w:rPr>
              <w:t>5.5.2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_Toc398748872 \h </w:instrText>
            </w:r>
            <w:r w:rsidR="00122B28">
              <w:rPr>
                <w:noProof/>
                <w:webHidden/>
              </w:rPr>
            </w:r>
            <w:r w:rsidR="00122B28">
              <w:rPr>
                <w:noProof/>
                <w:webHidden/>
              </w:rPr>
              <w:fldChar w:fldCharType="separate"/>
            </w:r>
            <w:r w:rsidR="00122B28">
              <w:rPr>
                <w:noProof/>
                <w:webHidden/>
              </w:rPr>
              <w:t>38</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3" w:history="1">
            <w:r w:rsidR="00122B28" w:rsidRPr="002E0AB4">
              <w:rPr>
                <w:rStyle w:val="Hyperlink"/>
                <w:rFonts w:cs="Arial"/>
                <w:noProof/>
                <w:lang w:val="it-IT" w:eastAsia="it-IT"/>
              </w:rPr>
              <w:t>5.5.3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_Toc398748873 \h </w:instrText>
            </w:r>
            <w:r w:rsidR="00122B28">
              <w:rPr>
                <w:noProof/>
                <w:webHidden/>
              </w:rPr>
            </w:r>
            <w:r w:rsidR="00122B28">
              <w:rPr>
                <w:noProof/>
                <w:webHidden/>
              </w:rPr>
              <w:fldChar w:fldCharType="separate"/>
            </w:r>
            <w:r w:rsidR="00122B28">
              <w:rPr>
                <w:noProof/>
                <w:webHidden/>
              </w:rPr>
              <w:t>39</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74" w:history="1">
            <w:r w:rsidR="00122B28" w:rsidRPr="002E0AB4">
              <w:rPr>
                <w:rStyle w:val="Hyperlink"/>
                <w:noProof/>
              </w:rPr>
              <w:t>6.</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Interoperability Between Aggregate and Per-TN Routing Data Approaches</w:t>
            </w:r>
            <w:r w:rsidR="00122B28">
              <w:rPr>
                <w:noProof/>
                <w:webHidden/>
              </w:rPr>
              <w:tab/>
            </w:r>
            <w:r w:rsidR="00122B28">
              <w:rPr>
                <w:noProof/>
                <w:webHidden/>
              </w:rPr>
              <w:fldChar w:fldCharType="begin"/>
            </w:r>
            <w:r w:rsidR="00122B28">
              <w:rPr>
                <w:noProof/>
                <w:webHidden/>
              </w:rPr>
              <w:instrText xml:space="preserve"> PAGEREF _Toc398748874 \h </w:instrText>
            </w:r>
            <w:r w:rsidR="00122B28">
              <w:rPr>
                <w:noProof/>
                <w:webHidden/>
              </w:rPr>
            </w:r>
            <w:r w:rsidR="00122B28">
              <w:rPr>
                <w:noProof/>
                <w:webHidden/>
              </w:rPr>
              <w:fldChar w:fldCharType="separate"/>
            </w:r>
            <w:r w:rsidR="00122B28">
              <w:rPr>
                <w:noProof/>
                <w:webHidden/>
              </w:rPr>
              <w:t>40</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5" w:history="1">
            <w:r w:rsidR="00122B28" w:rsidRPr="002E0AB4">
              <w:rPr>
                <w:rStyle w:val="Hyperlink"/>
                <w:noProof/>
              </w:rPr>
              <w:t>6.1</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an Aggregate SP To a Per-TN SP</w:t>
            </w:r>
            <w:r w:rsidR="00122B28">
              <w:rPr>
                <w:noProof/>
                <w:webHidden/>
              </w:rPr>
              <w:tab/>
            </w:r>
            <w:r w:rsidR="00122B28">
              <w:rPr>
                <w:noProof/>
                <w:webHidden/>
              </w:rPr>
              <w:fldChar w:fldCharType="begin"/>
            </w:r>
            <w:r w:rsidR="00122B28">
              <w:rPr>
                <w:noProof/>
                <w:webHidden/>
              </w:rPr>
              <w:instrText xml:space="preserve"> PAGEREF _Toc398748875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6" w:history="1">
            <w:r w:rsidR="00122B28" w:rsidRPr="002E0AB4">
              <w:rPr>
                <w:rStyle w:val="Hyperlink"/>
                <w:noProof/>
              </w:rPr>
              <w:t>6.2</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 Per-TN SP To an Aggregate SP</w:t>
            </w:r>
            <w:r w:rsidR="00122B28">
              <w:rPr>
                <w:noProof/>
                <w:webHidden/>
              </w:rPr>
              <w:tab/>
            </w:r>
            <w:r w:rsidR="00122B28">
              <w:rPr>
                <w:noProof/>
                <w:webHidden/>
              </w:rPr>
              <w:fldChar w:fldCharType="begin"/>
            </w:r>
            <w:r w:rsidR="00122B28">
              <w:rPr>
                <w:noProof/>
                <w:webHidden/>
              </w:rPr>
              <w:instrText xml:space="preserve"> PAGEREF _Toc398748876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7" w:history="1">
            <w:r w:rsidR="00122B28" w:rsidRPr="002E0AB4">
              <w:rPr>
                <w:rStyle w:val="Hyperlink"/>
                <w:noProof/>
              </w:rPr>
              <w:t>6.3</w:t>
            </w:r>
            <w:r w:rsidR="00122B28">
              <w:rPr>
                <w:rFonts w:asciiTheme="minorHAnsi" w:eastAsiaTheme="minorEastAsia" w:hAnsiTheme="minorHAnsi" w:cstheme="minorBidi"/>
                <w:smallCaps w:val="0"/>
                <w:noProof/>
                <w:sz w:val="22"/>
                <w:szCs w:val="22"/>
              </w:rPr>
              <w:tab/>
            </w:r>
            <w:r w:rsidR="00122B28" w:rsidRPr="002E0AB4">
              <w:rPr>
                <w:rStyle w:val="Hyperlink"/>
                <w:noProof/>
              </w:rPr>
              <w:t>Registry Supporting Both Aggregate and Expanded per-TN Routing Data</w:t>
            </w:r>
            <w:r w:rsidR="00122B28">
              <w:rPr>
                <w:noProof/>
                <w:webHidden/>
              </w:rPr>
              <w:tab/>
            </w:r>
            <w:r w:rsidR="00122B28">
              <w:rPr>
                <w:noProof/>
                <w:webHidden/>
              </w:rPr>
              <w:fldChar w:fldCharType="begin"/>
            </w:r>
            <w:r w:rsidR="00122B28">
              <w:rPr>
                <w:noProof/>
                <w:webHidden/>
              </w:rPr>
              <w:instrText xml:space="preserve"> PAGEREF _Toc398748877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652007">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8" w:history="1">
            <w:r w:rsidR="00122B28" w:rsidRPr="002E0AB4">
              <w:rPr>
                <w:rStyle w:val="Hyperlink"/>
                <w:noProof/>
              </w:rPr>
              <w:t>6.4</w:t>
            </w:r>
            <w:r w:rsidR="00122B28">
              <w:rPr>
                <w:rFonts w:asciiTheme="minorHAnsi" w:eastAsiaTheme="minorEastAsia" w:hAnsiTheme="minorHAnsi" w:cstheme="minorBidi"/>
                <w:smallCaps w:val="0"/>
                <w:noProof/>
                <w:sz w:val="22"/>
                <w:szCs w:val="22"/>
              </w:rPr>
              <w:tab/>
            </w:r>
            <w:r w:rsidR="00122B28" w:rsidRPr="002E0AB4">
              <w:rPr>
                <w:rStyle w:val="Hyperlink"/>
                <w:noProof/>
              </w:rPr>
              <w:t>Using the NPAC to interoperate on a per-TN and aggregate basis</w:t>
            </w:r>
            <w:r w:rsidR="00122B28">
              <w:rPr>
                <w:noProof/>
                <w:webHidden/>
              </w:rPr>
              <w:tab/>
            </w:r>
            <w:r w:rsidR="00122B28">
              <w:rPr>
                <w:noProof/>
                <w:webHidden/>
              </w:rPr>
              <w:fldChar w:fldCharType="begin"/>
            </w:r>
            <w:r w:rsidR="00122B28">
              <w:rPr>
                <w:noProof/>
                <w:webHidden/>
              </w:rPr>
              <w:instrText xml:space="preserve"> PAGEREF _Toc398748878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9" w:history="1">
            <w:r w:rsidR="00122B28" w:rsidRPr="002E0AB4">
              <w:rPr>
                <w:rStyle w:val="Hyperlink"/>
                <w:noProof/>
              </w:rPr>
              <w:t>6.4.1</w:t>
            </w:r>
            <w:r w:rsidR="00122B28">
              <w:rPr>
                <w:rFonts w:asciiTheme="minorHAnsi" w:eastAsiaTheme="minorEastAsia" w:hAnsiTheme="minorHAnsi" w:cstheme="minorBidi"/>
                <w:i w:val="0"/>
                <w:iCs w:val="0"/>
                <w:noProof/>
                <w:sz w:val="22"/>
                <w:szCs w:val="22"/>
              </w:rPr>
              <w:tab/>
            </w:r>
            <w:r w:rsidR="00122B28" w:rsidRPr="002E0AB4">
              <w:rPr>
                <w:rStyle w:val="Hyperlink"/>
                <w:noProof/>
              </w:rPr>
              <w:t>Overview</w:t>
            </w:r>
            <w:r w:rsidR="00122B28">
              <w:rPr>
                <w:noProof/>
                <w:webHidden/>
              </w:rPr>
              <w:tab/>
            </w:r>
            <w:r w:rsidR="00122B28">
              <w:rPr>
                <w:noProof/>
                <w:webHidden/>
              </w:rPr>
              <w:fldChar w:fldCharType="begin"/>
            </w:r>
            <w:r w:rsidR="00122B28">
              <w:rPr>
                <w:noProof/>
                <w:webHidden/>
              </w:rPr>
              <w:instrText xml:space="preserve"> PAGEREF _Toc398748879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0" w:history="1">
            <w:r w:rsidR="00122B28" w:rsidRPr="002E0AB4">
              <w:rPr>
                <w:rStyle w:val="Hyperlink"/>
                <w:noProof/>
              </w:rPr>
              <w:t>6.4.2</w:t>
            </w:r>
            <w:r w:rsidR="00122B28">
              <w:rPr>
                <w:rFonts w:asciiTheme="minorHAnsi" w:eastAsiaTheme="minorEastAsia" w:hAnsiTheme="minorHAnsi" w:cstheme="minorBidi"/>
                <w:i w:val="0"/>
                <w:iCs w:val="0"/>
                <w:noProof/>
                <w:sz w:val="22"/>
                <w:szCs w:val="22"/>
              </w:rPr>
              <w:tab/>
            </w:r>
            <w:r w:rsidR="00122B28" w:rsidRPr="002E0AB4">
              <w:rPr>
                <w:rStyle w:val="Hyperlink"/>
                <w:noProof/>
              </w:rPr>
              <w:t>High Level Description</w:t>
            </w:r>
            <w:r w:rsidR="00122B28">
              <w:rPr>
                <w:noProof/>
                <w:webHidden/>
              </w:rPr>
              <w:tab/>
            </w:r>
            <w:r w:rsidR="00122B28">
              <w:rPr>
                <w:noProof/>
                <w:webHidden/>
              </w:rPr>
              <w:fldChar w:fldCharType="begin"/>
            </w:r>
            <w:r w:rsidR="00122B28">
              <w:rPr>
                <w:noProof/>
                <w:webHidden/>
              </w:rPr>
              <w:instrText xml:space="preserve"> PAGEREF _Toc398748880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1" w:history="1">
            <w:r w:rsidR="00122B28" w:rsidRPr="002E0AB4">
              <w:rPr>
                <w:rStyle w:val="Hyperlink"/>
                <w:noProof/>
              </w:rPr>
              <w:t>6.4.3</w:t>
            </w:r>
            <w:r w:rsidR="00122B28">
              <w:rPr>
                <w:rFonts w:asciiTheme="minorHAnsi" w:eastAsiaTheme="minorEastAsia" w:hAnsiTheme="minorHAnsi" w:cstheme="minorBidi"/>
                <w:i w:val="0"/>
                <w:iCs w:val="0"/>
                <w:noProof/>
                <w:sz w:val="22"/>
                <w:szCs w:val="22"/>
              </w:rPr>
              <w:tab/>
            </w:r>
            <w:r w:rsidR="00122B28" w:rsidRPr="002E0AB4">
              <w:rPr>
                <w:rStyle w:val="Hyperlink"/>
                <w:noProof/>
              </w:rPr>
              <w:t>Provisioning</w:t>
            </w:r>
            <w:r w:rsidR="00122B28">
              <w:rPr>
                <w:noProof/>
                <w:webHidden/>
              </w:rPr>
              <w:tab/>
            </w:r>
            <w:r w:rsidR="00122B28">
              <w:rPr>
                <w:noProof/>
                <w:webHidden/>
              </w:rPr>
              <w:fldChar w:fldCharType="begin"/>
            </w:r>
            <w:r w:rsidR="00122B28">
              <w:rPr>
                <w:noProof/>
                <w:webHidden/>
              </w:rPr>
              <w:instrText xml:space="preserve"> PAGEREF _Toc398748881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2" w:history="1">
            <w:r w:rsidR="00122B28" w:rsidRPr="002E0AB4">
              <w:rPr>
                <w:rStyle w:val="Hyperlink"/>
                <w:noProof/>
              </w:rPr>
              <w:t>6.4.4</w:t>
            </w:r>
            <w:r w:rsidR="00122B28">
              <w:rPr>
                <w:rFonts w:asciiTheme="minorHAnsi" w:eastAsiaTheme="minorEastAsia" w:hAnsiTheme="minorHAnsi" w:cstheme="minorBidi"/>
                <w:i w:val="0"/>
                <w:iCs w:val="0"/>
                <w:noProof/>
                <w:sz w:val="22"/>
                <w:szCs w:val="22"/>
              </w:rPr>
              <w:tab/>
            </w:r>
            <w:r w:rsidR="00122B28" w:rsidRPr="002E0AB4">
              <w:rPr>
                <w:rStyle w:val="Hyperlink"/>
                <w:noProof/>
              </w:rPr>
              <w:t>Call Flow</w:t>
            </w:r>
            <w:r w:rsidR="00122B28">
              <w:rPr>
                <w:noProof/>
                <w:webHidden/>
              </w:rPr>
              <w:tab/>
            </w:r>
            <w:r w:rsidR="00122B28">
              <w:rPr>
                <w:noProof/>
                <w:webHidden/>
              </w:rPr>
              <w:fldChar w:fldCharType="begin"/>
            </w:r>
            <w:r w:rsidR="00122B28">
              <w:rPr>
                <w:noProof/>
                <w:webHidden/>
              </w:rPr>
              <w:instrText xml:space="preserve"> PAGEREF _Toc398748882 \h </w:instrText>
            </w:r>
            <w:r w:rsidR="00122B28">
              <w:rPr>
                <w:noProof/>
                <w:webHidden/>
              </w:rPr>
            </w:r>
            <w:r w:rsidR="00122B28">
              <w:rPr>
                <w:noProof/>
                <w:webHidden/>
              </w:rPr>
              <w:fldChar w:fldCharType="separate"/>
            </w:r>
            <w:r w:rsidR="00122B28">
              <w:rPr>
                <w:noProof/>
                <w:webHidden/>
              </w:rPr>
              <w:t>44</w:t>
            </w:r>
            <w:r w:rsidR="00122B28">
              <w:rPr>
                <w:noProof/>
                <w:webHidden/>
              </w:rPr>
              <w:fldChar w:fldCharType="end"/>
            </w:r>
          </w:hyperlink>
        </w:p>
        <w:p w:rsidR="00122B28" w:rsidRDefault="00652007">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3" w:history="1">
            <w:r w:rsidR="00122B28" w:rsidRPr="002E0AB4">
              <w:rPr>
                <w:rStyle w:val="Hyperlink"/>
                <w:noProof/>
              </w:rPr>
              <w:t>6.4.5</w:t>
            </w:r>
            <w:r w:rsidR="00122B28">
              <w:rPr>
                <w:rFonts w:asciiTheme="minorHAnsi" w:eastAsiaTheme="minorEastAsia" w:hAnsiTheme="minorHAnsi" w:cstheme="minorBidi"/>
                <w:i w:val="0"/>
                <w:iCs w:val="0"/>
                <w:noProof/>
                <w:sz w:val="22"/>
                <w:szCs w:val="22"/>
              </w:rPr>
              <w:tab/>
            </w:r>
            <w:r w:rsidR="00122B28" w:rsidRPr="002E0AB4">
              <w:rPr>
                <w:rStyle w:val="Hyperlink"/>
                <w:noProof/>
              </w:rPr>
              <w:t>Summary</w:t>
            </w:r>
            <w:r w:rsidR="00122B28">
              <w:rPr>
                <w:noProof/>
                <w:webHidden/>
              </w:rPr>
              <w:tab/>
            </w:r>
            <w:r w:rsidR="00122B28">
              <w:rPr>
                <w:noProof/>
                <w:webHidden/>
              </w:rPr>
              <w:fldChar w:fldCharType="begin"/>
            </w:r>
            <w:r w:rsidR="00122B28">
              <w:rPr>
                <w:noProof/>
                <w:webHidden/>
              </w:rPr>
              <w:instrText xml:space="preserve"> PAGEREF _Toc398748883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652007">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84" w:history="1">
            <w:r w:rsidR="00122B28" w:rsidRPr="002E0AB4">
              <w:rPr>
                <w:rStyle w:val="Hyperlink"/>
                <w:noProof/>
              </w:rPr>
              <w:t>7.</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Next Steps</w:t>
            </w:r>
            <w:r w:rsidR="00122B28">
              <w:rPr>
                <w:noProof/>
                <w:webHidden/>
              </w:rPr>
              <w:tab/>
            </w:r>
            <w:r w:rsidR="00122B28">
              <w:rPr>
                <w:noProof/>
                <w:webHidden/>
              </w:rPr>
              <w:fldChar w:fldCharType="begin"/>
            </w:r>
            <w:r w:rsidR="00122B28">
              <w:rPr>
                <w:noProof/>
                <w:webHidden/>
              </w:rPr>
              <w:instrText xml:space="preserve"> PAGEREF _Toc398748884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85" w:history="1">
            <w:r w:rsidR="00122B28" w:rsidRPr="002E0AB4">
              <w:rPr>
                <w:rStyle w:val="Hyperlink"/>
                <w:noProof/>
              </w:rPr>
              <w:t>Appendix A - Comparative Characteristics Matrix</w:t>
            </w:r>
            <w:r w:rsidR="00122B28">
              <w:rPr>
                <w:noProof/>
                <w:webHidden/>
              </w:rPr>
              <w:tab/>
            </w:r>
            <w:r w:rsidR="00122B28">
              <w:rPr>
                <w:noProof/>
                <w:webHidden/>
              </w:rPr>
              <w:fldChar w:fldCharType="begin"/>
            </w:r>
            <w:r w:rsidR="00122B28">
              <w:rPr>
                <w:noProof/>
                <w:webHidden/>
              </w:rPr>
              <w:instrText xml:space="preserve"> PAGEREF _Toc398748885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652007">
          <w:pPr>
            <w:pStyle w:val="TOC1"/>
            <w:tabs>
              <w:tab w:val="right" w:leader="dot" w:pos="10070"/>
            </w:tabs>
            <w:rPr>
              <w:rFonts w:asciiTheme="minorHAnsi" w:eastAsiaTheme="minorEastAsia" w:hAnsiTheme="minorHAnsi" w:cstheme="minorBidi"/>
              <w:b w:val="0"/>
              <w:bCs w:val="0"/>
              <w:caps w:val="0"/>
              <w:noProof/>
              <w:sz w:val="22"/>
              <w:szCs w:val="22"/>
            </w:rPr>
          </w:pPr>
          <w:hyperlink w:anchor="_Toc398748886" w:history="1">
            <w:r w:rsidR="00122B28" w:rsidRPr="002E0AB4">
              <w:rPr>
                <w:rStyle w:val="Hyperlink"/>
                <w:noProof/>
              </w:rPr>
              <w:t>Appendix B – Data Exchange Worksheet Example</w:t>
            </w:r>
            <w:r w:rsidR="00122B28">
              <w:rPr>
                <w:noProof/>
                <w:webHidden/>
              </w:rPr>
              <w:tab/>
            </w:r>
            <w:r w:rsidR="00122B28">
              <w:rPr>
                <w:noProof/>
                <w:webHidden/>
              </w:rPr>
              <w:fldChar w:fldCharType="begin"/>
            </w:r>
            <w:r w:rsidR="00122B28">
              <w:rPr>
                <w:noProof/>
                <w:webHidden/>
              </w:rPr>
              <w:instrText xml:space="preserve"> PAGEREF _Toc398748886 \h </w:instrText>
            </w:r>
            <w:r w:rsidR="00122B28">
              <w:rPr>
                <w:noProof/>
                <w:webHidden/>
              </w:rPr>
            </w:r>
            <w:r w:rsidR="00122B28">
              <w:rPr>
                <w:noProof/>
                <w:webHidden/>
              </w:rPr>
              <w:fldChar w:fldCharType="separate"/>
            </w:r>
            <w:r w:rsidR="00122B28">
              <w:rPr>
                <w:noProof/>
                <w:webHidden/>
              </w:rPr>
              <w:t>47</w:t>
            </w:r>
            <w:r w:rsidR="00122B28">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8052F6"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8749485" w:history="1">
        <w:r w:rsidR="008052F6" w:rsidRPr="00A81E4B">
          <w:rPr>
            <w:rStyle w:val="Hyperlink"/>
            <w:noProof/>
          </w:rPr>
          <w:t>Figure 1 – Provisioning -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_Toc398749485 \h </w:instrText>
        </w:r>
        <w:r w:rsidR="008052F6">
          <w:rPr>
            <w:noProof/>
            <w:webHidden/>
          </w:rPr>
        </w:r>
        <w:r w:rsidR="008052F6">
          <w:rPr>
            <w:noProof/>
            <w:webHidden/>
          </w:rPr>
          <w:fldChar w:fldCharType="separate"/>
        </w:r>
        <w:r w:rsidR="008052F6">
          <w:rPr>
            <w:noProof/>
            <w:webHidden/>
          </w:rPr>
          <w:t>12</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86" w:history="1">
        <w:r w:rsidR="008052F6" w:rsidRPr="00A81E4B">
          <w:rPr>
            <w:rStyle w:val="Hyperlink"/>
            <w:noProof/>
          </w:rPr>
          <w:t>Figure 2 – Call Flow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_Toc398749486 \h </w:instrText>
        </w:r>
        <w:r w:rsidR="008052F6">
          <w:rPr>
            <w:noProof/>
            <w:webHidden/>
          </w:rPr>
        </w:r>
        <w:r w:rsidR="008052F6">
          <w:rPr>
            <w:noProof/>
            <w:webHidden/>
          </w:rPr>
          <w:fldChar w:fldCharType="separate"/>
        </w:r>
        <w:r w:rsidR="008052F6">
          <w:rPr>
            <w:noProof/>
            <w:webHidden/>
          </w:rPr>
          <w:t>13</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87" w:history="1">
        <w:r w:rsidR="008052F6" w:rsidRPr="00A81E4B">
          <w:rPr>
            <w:rStyle w:val="Hyperlink"/>
            <w:noProof/>
          </w:rPr>
          <w:t>Figure 3 Call Flow – In-Use Method using LERG Enhancements</w:t>
        </w:r>
        <w:r w:rsidR="008052F6">
          <w:rPr>
            <w:noProof/>
            <w:webHidden/>
          </w:rPr>
          <w:tab/>
        </w:r>
        <w:r w:rsidR="008052F6">
          <w:rPr>
            <w:noProof/>
            <w:webHidden/>
          </w:rPr>
          <w:fldChar w:fldCharType="begin"/>
        </w:r>
        <w:r w:rsidR="008052F6">
          <w:rPr>
            <w:noProof/>
            <w:webHidden/>
          </w:rPr>
          <w:instrText xml:space="preserve"> PAGEREF _Toc398749487 \h </w:instrText>
        </w:r>
        <w:r w:rsidR="008052F6">
          <w:rPr>
            <w:noProof/>
            <w:webHidden/>
          </w:rPr>
        </w:r>
        <w:r w:rsidR="008052F6">
          <w:rPr>
            <w:noProof/>
            <w:webHidden/>
          </w:rPr>
          <w:fldChar w:fldCharType="separate"/>
        </w:r>
        <w:r w:rsidR="008052F6">
          <w:rPr>
            <w:noProof/>
            <w:webHidden/>
          </w:rPr>
          <w:t>15</w:t>
        </w:r>
        <w:r w:rsidR="008052F6">
          <w:rPr>
            <w:noProof/>
            <w:webHidden/>
          </w:rPr>
          <w:fldChar w:fldCharType="end"/>
        </w:r>
      </w:hyperlink>
    </w:p>
    <w:p w:rsidR="008052F6" w:rsidRDefault="008052F6">
      <w:pPr>
        <w:pStyle w:val="TableofFigures"/>
        <w:tabs>
          <w:tab w:val="right" w:leader="dot" w:pos="10070"/>
        </w:tabs>
        <w:rPr>
          <w:rFonts w:asciiTheme="minorHAnsi" w:eastAsiaTheme="minorEastAsia" w:hAnsiTheme="minorHAnsi" w:cstheme="minorBidi"/>
          <w:smallCaps w:val="0"/>
          <w:noProof/>
          <w:sz w:val="22"/>
          <w:szCs w:val="22"/>
        </w:rPr>
      </w:pPr>
      <w:r>
        <w:rPr>
          <w:noProof/>
        </w:rPr>
        <w:t>Figure 4 – Provisioning - In-Use Method using LERG Enhancements</w:t>
      </w:r>
      <w:r>
        <w:rPr>
          <w:noProof/>
          <w:webHidden/>
        </w:rPr>
        <w:tab/>
      </w:r>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89" w:history="1">
        <w:r w:rsidR="008052F6" w:rsidRPr="00A81E4B">
          <w:rPr>
            <w:rStyle w:val="Hyperlink"/>
            <w:noProof/>
          </w:rPr>
          <w:t>Figure 5- Call Flow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_Toc398749489 \h </w:instrText>
        </w:r>
        <w:r w:rsidR="008052F6">
          <w:rPr>
            <w:noProof/>
            <w:webHidden/>
          </w:rPr>
        </w:r>
        <w:r w:rsidR="008052F6">
          <w:rPr>
            <w:noProof/>
            <w:webHidden/>
          </w:rPr>
          <w:fldChar w:fldCharType="separate"/>
        </w:r>
        <w:r w:rsidR="008052F6">
          <w:rPr>
            <w:noProof/>
            <w:webHidden/>
          </w:rPr>
          <w:t>20</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0" w:history="1">
        <w:r w:rsidR="008052F6" w:rsidRPr="00A81E4B">
          <w:rPr>
            <w:rStyle w:val="Hyperlink"/>
            <w:noProof/>
          </w:rPr>
          <w:t>Figure 6 – Provisioning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_Toc398749490 \h </w:instrText>
        </w:r>
        <w:r w:rsidR="008052F6">
          <w:rPr>
            <w:noProof/>
            <w:webHidden/>
          </w:rPr>
        </w:r>
        <w:r w:rsidR="008052F6">
          <w:rPr>
            <w:noProof/>
            <w:webHidden/>
          </w:rPr>
          <w:fldChar w:fldCharType="separate"/>
        </w:r>
        <w:r w:rsidR="008052F6">
          <w:rPr>
            <w:noProof/>
            <w:webHidden/>
          </w:rPr>
          <w:t>21</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1" w:history="1">
        <w:r w:rsidR="008052F6" w:rsidRPr="00A81E4B">
          <w:rPr>
            <w:rStyle w:val="Hyperlink"/>
            <w:noProof/>
          </w:rPr>
          <w:t>Figure 7 – Provisioning - NPAC TN Registry</w:t>
        </w:r>
        <w:r w:rsidR="008052F6">
          <w:rPr>
            <w:noProof/>
            <w:webHidden/>
          </w:rPr>
          <w:tab/>
        </w:r>
        <w:r w:rsidR="008052F6">
          <w:rPr>
            <w:noProof/>
            <w:webHidden/>
          </w:rPr>
          <w:fldChar w:fldCharType="begin"/>
        </w:r>
        <w:r w:rsidR="008052F6">
          <w:rPr>
            <w:noProof/>
            <w:webHidden/>
          </w:rPr>
          <w:instrText xml:space="preserve"> PAGEREF _Toc398749491 \h </w:instrText>
        </w:r>
        <w:r w:rsidR="008052F6">
          <w:rPr>
            <w:noProof/>
            <w:webHidden/>
          </w:rPr>
        </w:r>
        <w:r w:rsidR="008052F6">
          <w:rPr>
            <w:noProof/>
            <w:webHidden/>
          </w:rPr>
          <w:fldChar w:fldCharType="separate"/>
        </w:r>
        <w:r w:rsidR="008052F6">
          <w:rPr>
            <w:noProof/>
            <w:webHidden/>
          </w:rPr>
          <w:t>25</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2" w:history="1">
        <w:r w:rsidR="008052F6" w:rsidRPr="00A81E4B">
          <w:rPr>
            <w:rStyle w:val="Hyperlink"/>
            <w:noProof/>
          </w:rPr>
          <w:t>Figure 8 – Provisioning NPAC as a TN Registry for Non-compliant SOA and LSMS</w:t>
        </w:r>
        <w:r w:rsidR="008052F6">
          <w:rPr>
            <w:noProof/>
            <w:webHidden/>
          </w:rPr>
          <w:tab/>
        </w:r>
        <w:r w:rsidR="008052F6">
          <w:rPr>
            <w:noProof/>
            <w:webHidden/>
          </w:rPr>
          <w:fldChar w:fldCharType="begin"/>
        </w:r>
        <w:r w:rsidR="008052F6">
          <w:rPr>
            <w:noProof/>
            <w:webHidden/>
          </w:rPr>
          <w:instrText xml:space="preserve"> PAGEREF _Toc398749492 \h </w:instrText>
        </w:r>
        <w:r w:rsidR="008052F6">
          <w:rPr>
            <w:noProof/>
            <w:webHidden/>
          </w:rPr>
        </w:r>
        <w:r w:rsidR="008052F6">
          <w:rPr>
            <w:noProof/>
            <w:webHidden/>
          </w:rPr>
          <w:fldChar w:fldCharType="separate"/>
        </w:r>
        <w:r w:rsidR="008052F6">
          <w:rPr>
            <w:noProof/>
            <w:webHidden/>
          </w:rPr>
          <w:t>26</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3" w:history="1">
        <w:r w:rsidR="008052F6" w:rsidRPr="00A81E4B">
          <w:rPr>
            <w:rStyle w:val="Hyperlink"/>
            <w:noProof/>
          </w:rPr>
          <w:t>Figure 9 – Call Flow - NPAC TN Registry</w:t>
        </w:r>
        <w:r w:rsidR="008052F6">
          <w:rPr>
            <w:noProof/>
            <w:webHidden/>
          </w:rPr>
          <w:tab/>
        </w:r>
        <w:r w:rsidR="008052F6">
          <w:rPr>
            <w:noProof/>
            <w:webHidden/>
          </w:rPr>
          <w:fldChar w:fldCharType="begin"/>
        </w:r>
        <w:r w:rsidR="008052F6">
          <w:rPr>
            <w:noProof/>
            <w:webHidden/>
          </w:rPr>
          <w:instrText xml:space="preserve"> PAGEREF _Toc398749493 \h </w:instrText>
        </w:r>
        <w:r w:rsidR="008052F6">
          <w:rPr>
            <w:noProof/>
            <w:webHidden/>
          </w:rPr>
        </w:r>
        <w:r w:rsidR="008052F6">
          <w:rPr>
            <w:noProof/>
            <w:webHidden/>
          </w:rPr>
          <w:fldChar w:fldCharType="separate"/>
        </w:r>
        <w:r w:rsidR="008052F6">
          <w:rPr>
            <w:noProof/>
            <w:webHidden/>
          </w:rPr>
          <w:t>28</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4" w:history="1">
        <w:r w:rsidR="008052F6" w:rsidRPr="00A81E4B">
          <w:rPr>
            <w:rStyle w:val="Hyperlink"/>
            <w:noProof/>
          </w:rPr>
          <w:t>Figure 10 – Call Flow –NPAC as aTier 1 ENUM Registry</w:t>
        </w:r>
        <w:r w:rsidR="008052F6">
          <w:rPr>
            <w:noProof/>
            <w:webHidden/>
          </w:rPr>
          <w:tab/>
        </w:r>
        <w:r w:rsidR="008052F6">
          <w:rPr>
            <w:noProof/>
            <w:webHidden/>
          </w:rPr>
          <w:fldChar w:fldCharType="begin"/>
        </w:r>
        <w:r w:rsidR="008052F6">
          <w:rPr>
            <w:noProof/>
            <w:webHidden/>
          </w:rPr>
          <w:instrText xml:space="preserve"> PAGEREF _Toc398749494 \h </w:instrText>
        </w:r>
        <w:r w:rsidR="008052F6">
          <w:rPr>
            <w:noProof/>
            <w:webHidden/>
          </w:rPr>
        </w:r>
        <w:r w:rsidR="008052F6">
          <w:rPr>
            <w:noProof/>
            <w:webHidden/>
          </w:rPr>
          <w:fldChar w:fldCharType="separate"/>
        </w:r>
        <w:r w:rsidR="008052F6">
          <w:rPr>
            <w:noProof/>
            <w:webHidden/>
          </w:rPr>
          <w:t>30</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5" w:history="1">
        <w:r w:rsidR="008052F6" w:rsidRPr="00A81E4B">
          <w:rPr>
            <w:rStyle w:val="Hyperlink"/>
            <w:noProof/>
          </w:rPr>
          <w:t>Figure 11 – Provisioning –NPAC as a Tier 1 ENUM Registry</w:t>
        </w:r>
        <w:r w:rsidR="008052F6">
          <w:rPr>
            <w:noProof/>
            <w:webHidden/>
          </w:rPr>
          <w:tab/>
        </w:r>
        <w:r w:rsidR="008052F6">
          <w:rPr>
            <w:noProof/>
            <w:webHidden/>
          </w:rPr>
          <w:fldChar w:fldCharType="begin"/>
        </w:r>
        <w:r w:rsidR="008052F6">
          <w:rPr>
            <w:noProof/>
            <w:webHidden/>
          </w:rPr>
          <w:instrText xml:space="preserve"> PAGEREF _Toc398749495 \h </w:instrText>
        </w:r>
        <w:r w:rsidR="008052F6">
          <w:rPr>
            <w:noProof/>
            <w:webHidden/>
          </w:rPr>
        </w:r>
        <w:r w:rsidR="008052F6">
          <w:rPr>
            <w:noProof/>
            <w:webHidden/>
          </w:rPr>
          <w:fldChar w:fldCharType="separate"/>
        </w:r>
        <w:r w:rsidR="008052F6">
          <w:rPr>
            <w:noProof/>
            <w:webHidden/>
          </w:rPr>
          <w:t>31</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6" w:history="1">
        <w:r w:rsidR="008052F6" w:rsidRPr="00A81E4B">
          <w:rPr>
            <w:rStyle w:val="Hyperlink"/>
            <w:noProof/>
          </w:rPr>
          <w:t>Figure 12 – Routing Call Flow - Independent ENUM Registry</w:t>
        </w:r>
        <w:r w:rsidR="008052F6">
          <w:rPr>
            <w:noProof/>
            <w:webHidden/>
          </w:rPr>
          <w:tab/>
        </w:r>
        <w:r w:rsidR="008052F6">
          <w:rPr>
            <w:noProof/>
            <w:webHidden/>
          </w:rPr>
          <w:fldChar w:fldCharType="begin"/>
        </w:r>
        <w:r w:rsidR="008052F6">
          <w:rPr>
            <w:noProof/>
            <w:webHidden/>
          </w:rPr>
          <w:instrText xml:space="preserve"> PAGEREF _Toc398749496 \h </w:instrText>
        </w:r>
        <w:r w:rsidR="008052F6">
          <w:rPr>
            <w:noProof/>
            <w:webHidden/>
          </w:rPr>
        </w:r>
        <w:r w:rsidR="008052F6">
          <w:rPr>
            <w:noProof/>
            <w:webHidden/>
          </w:rPr>
          <w:fldChar w:fldCharType="separate"/>
        </w:r>
        <w:r w:rsidR="008052F6">
          <w:rPr>
            <w:noProof/>
            <w:webHidden/>
          </w:rPr>
          <w:t>34</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7" w:history="1">
        <w:r w:rsidR="008052F6" w:rsidRPr="00A81E4B">
          <w:rPr>
            <w:rStyle w:val="Hyperlink"/>
            <w:noProof/>
          </w:rPr>
          <w:t>Figure 13 – Provisioning - Independent ENUM Registry</w:t>
        </w:r>
        <w:r w:rsidR="008052F6">
          <w:rPr>
            <w:noProof/>
            <w:webHidden/>
          </w:rPr>
          <w:tab/>
        </w:r>
        <w:r w:rsidR="008052F6">
          <w:rPr>
            <w:noProof/>
            <w:webHidden/>
          </w:rPr>
          <w:fldChar w:fldCharType="begin"/>
        </w:r>
        <w:r w:rsidR="008052F6">
          <w:rPr>
            <w:noProof/>
            <w:webHidden/>
          </w:rPr>
          <w:instrText xml:space="preserve"> PAGEREF _Toc398749497 \h </w:instrText>
        </w:r>
        <w:r w:rsidR="008052F6">
          <w:rPr>
            <w:noProof/>
            <w:webHidden/>
          </w:rPr>
        </w:r>
        <w:r w:rsidR="008052F6">
          <w:rPr>
            <w:noProof/>
            <w:webHidden/>
          </w:rPr>
          <w:fldChar w:fldCharType="separate"/>
        </w:r>
        <w:r w:rsidR="008052F6">
          <w:rPr>
            <w:noProof/>
            <w:webHidden/>
          </w:rPr>
          <w:t>35</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8" w:history="1">
        <w:r w:rsidR="008052F6" w:rsidRPr="00A81E4B">
          <w:rPr>
            <w:rStyle w:val="Hyperlink"/>
            <w:noProof/>
          </w:rPr>
          <w:t>Figure 14 – Provisioning-  per TN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_Toc398749498 \h </w:instrText>
        </w:r>
        <w:r w:rsidR="008052F6">
          <w:rPr>
            <w:noProof/>
            <w:webHidden/>
          </w:rPr>
        </w:r>
        <w:r w:rsidR="008052F6">
          <w:rPr>
            <w:noProof/>
            <w:webHidden/>
          </w:rPr>
          <w:fldChar w:fldCharType="separate"/>
        </w:r>
        <w:r w:rsidR="008052F6">
          <w:rPr>
            <w:noProof/>
            <w:webHidden/>
          </w:rPr>
          <w:t>37</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499" w:history="1">
        <w:r w:rsidR="008052F6" w:rsidRPr="00A81E4B">
          <w:rPr>
            <w:rStyle w:val="Hyperlink"/>
            <w:noProof/>
          </w:rPr>
          <w:t>Figure 15 – Call Flow -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_Toc398749499 \h </w:instrText>
        </w:r>
        <w:r w:rsidR="008052F6">
          <w:rPr>
            <w:noProof/>
            <w:webHidden/>
          </w:rPr>
        </w:r>
        <w:r w:rsidR="008052F6">
          <w:rPr>
            <w:noProof/>
            <w:webHidden/>
          </w:rPr>
          <w:fldChar w:fldCharType="separate"/>
        </w:r>
        <w:r w:rsidR="008052F6">
          <w:rPr>
            <w:noProof/>
            <w:webHidden/>
          </w:rPr>
          <w:t>38</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500" w:history="1">
        <w:r w:rsidR="008052F6" w:rsidRPr="00A81E4B">
          <w:rPr>
            <w:rStyle w:val="Hyperlink"/>
            <w:noProof/>
          </w:rPr>
          <w:t>Figure 16 -– Implementation Alternatives Reference Architecture</w:t>
        </w:r>
        <w:r w:rsidR="008052F6">
          <w:rPr>
            <w:noProof/>
            <w:webHidden/>
          </w:rPr>
          <w:tab/>
        </w:r>
        <w:r w:rsidR="008052F6">
          <w:rPr>
            <w:noProof/>
            <w:webHidden/>
          </w:rPr>
          <w:fldChar w:fldCharType="begin"/>
        </w:r>
        <w:r w:rsidR="008052F6">
          <w:rPr>
            <w:noProof/>
            <w:webHidden/>
          </w:rPr>
          <w:instrText xml:space="preserve"> PAGEREF _Toc398749500 \h </w:instrText>
        </w:r>
        <w:r w:rsidR="008052F6">
          <w:rPr>
            <w:noProof/>
            <w:webHidden/>
          </w:rPr>
        </w:r>
        <w:r w:rsidR="008052F6">
          <w:rPr>
            <w:noProof/>
            <w:webHidden/>
          </w:rPr>
          <w:fldChar w:fldCharType="separate"/>
        </w:r>
        <w:r w:rsidR="008052F6">
          <w:rPr>
            <w:noProof/>
            <w:webHidden/>
          </w:rPr>
          <w:t>39</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501" w:history="1">
        <w:r w:rsidR="008052F6" w:rsidRPr="00A81E4B">
          <w:rPr>
            <w:rStyle w:val="Hyperlink"/>
            <w:noProof/>
          </w:rPr>
          <w:t>Figure 17 -– Provisioning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_Toc398749501 \h </w:instrText>
        </w:r>
        <w:r w:rsidR="008052F6">
          <w:rPr>
            <w:noProof/>
            <w:webHidden/>
          </w:rPr>
        </w:r>
        <w:r w:rsidR="008052F6">
          <w:rPr>
            <w:noProof/>
            <w:webHidden/>
          </w:rPr>
          <w:fldChar w:fldCharType="separate"/>
        </w:r>
        <w:r w:rsidR="008052F6">
          <w:rPr>
            <w:noProof/>
            <w:webHidden/>
          </w:rPr>
          <w:t>40</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502" w:history="1">
        <w:r w:rsidR="008052F6" w:rsidRPr="00A81E4B">
          <w:rPr>
            <w:rStyle w:val="Hyperlink"/>
            <w:noProof/>
          </w:rPr>
          <w:t>Figure 18 - Call Flow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_Toc398749502 \h </w:instrText>
        </w:r>
        <w:r w:rsidR="008052F6">
          <w:rPr>
            <w:noProof/>
            <w:webHidden/>
          </w:rPr>
        </w:r>
        <w:r w:rsidR="008052F6">
          <w:rPr>
            <w:noProof/>
            <w:webHidden/>
          </w:rPr>
          <w:fldChar w:fldCharType="separate"/>
        </w:r>
        <w:r w:rsidR="008052F6">
          <w:rPr>
            <w:noProof/>
            <w:webHidden/>
          </w:rPr>
          <w:t>41</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503" w:history="1">
        <w:r w:rsidR="008052F6" w:rsidRPr="00A81E4B">
          <w:rPr>
            <w:rStyle w:val="Hyperlink"/>
            <w:noProof/>
          </w:rPr>
          <w:t>Figure 19 - Provisioning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_Toc398749503 \h </w:instrText>
        </w:r>
        <w:r w:rsidR="008052F6">
          <w:rPr>
            <w:noProof/>
            <w:webHidden/>
          </w:rPr>
        </w:r>
        <w:r w:rsidR="008052F6">
          <w:rPr>
            <w:noProof/>
            <w:webHidden/>
          </w:rPr>
          <w:fldChar w:fldCharType="separate"/>
        </w:r>
        <w:r w:rsidR="008052F6">
          <w:rPr>
            <w:noProof/>
            <w:webHidden/>
          </w:rPr>
          <w:t>45</w:t>
        </w:r>
        <w:r w:rsidR="008052F6">
          <w:rPr>
            <w:noProof/>
            <w:webHidden/>
          </w:rPr>
          <w:fldChar w:fldCharType="end"/>
        </w:r>
      </w:hyperlink>
    </w:p>
    <w:p w:rsidR="008052F6" w:rsidRDefault="00652007">
      <w:pPr>
        <w:pStyle w:val="TableofFigures"/>
        <w:tabs>
          <w:tab w:val="right" w:leader="dot" w:pos="10070"/>
        </w:tabs>
        <w:rPr>
          <w:rFonts w:asciiTheme="minorHAnsi" w:eastAsiaTheme="minorEastAsia" w:hAnsiTheme="minorHAnsi" w:cstheme="minorBidi"/>
          <w:smallCaps w:val="0"/>
          <w:noProof/>
          <w:sz w:val="22"/>
          <w:szCs w:val="22"/>
        </w:rPr>
      </w:pPr>
      <w:hyperlink w:anchor="_Toc398749504" w:history="1">
        <w:r w:rsidR="008052F6" w:rsidRPr="00A81E4B">
          <w:rPr>
            <w:rStyle w:val="Hyperlink"/>
            <w:noProof/>
          </w:rPr>
          <w:t>Figure 20 - Call Flow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_Toc398749504 \h </w:instrText>
        </w:r>
        <w:r w:rsidR="008052F6">
          <w:rPr>
            <w:noProof/>
            <w:webHidden/>
          </w:rPr>
        </w:r>
        <w:r w:rsidR="008052F6">
          <w:rPr>
            <w:noProof/>
            <w:webHidden/>
          </w:rPr>
          <w:fldChar w:fldCharType="separate"/>
        </w:r>
        <w:r w:rsidR="008052F6">
          <w:rPr>
            <w:noProof/>
            <w:webHidden/>
          </w:rPr>
          <w:t>46</w:t>
        </w:r>
        <w:r w:rsidR="008052F6">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8" w:name="_Toc398748827"/>
      <w:r>
        <w:t>Scope, Purpose, &amp; Application</w:t>
      </w:r>
      <w:bookmarkEnd w:id="38"/>
    </w:p>
    <w:p w:rsidR="007B6D84" w:rsidRDefault="007B6D84" w:rsidP="003B7151">
      <w:pPr>
        <w:pStyle w:val="Heading2"/>
      </w:pPr>
      <w:bookmarkStart w:id="39" w:name="_Toc398748828"/>
      <w:r>
        <w:t>Scope</w:t>
      </w:r>
      <w:bookmarkEnd w:id="39"/>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3B5B16">
        <w:rPr>
          <w:rFonts w:cs="Arial"/>
        </w:rPr>
        <w:t xml:space="preserve">The initial objectives of the ATIS/SIP Forum NNI Task Force as memorialized in the agreement between ATIS and the SIP Forum included defining “the architecture and requirements for a shared “Thin” registry of NNI interconnection data.” </w:t>
      </w:r>
      <w:r w:rsidR="008E6247">
        <w:rPr>
          <w:rFonts w:cs="Arial"/>
        </w:rPr>
        <w:t>T</w:t>
      </w:r>
      <w:r w:rsidRPr="003B5B16">
        <w:rPr>
          <w:rFonts w:cs="Arial"/>
        </w:rPr>
        <w:t xml:space="preserve">he </w:t>
      </w:r>
      <w:r w:rsidR="008E6247">
        <w:rPr>
          <w:rFonts w:cs="Arial"/>
        </w:rPr>
        <w:t>Task F</w:t>
      </w:r>
      <w:r w:rsidR="0005307D">
        <w:rPr>
          <w:rFonts w:cs="Arial"/>
        </w:rPr>
        <w:t>orce</w:t>
      </w:r>
      <w:r w:rsidR="0005307D" w:rsidRPr="003B5B16">
        <w:rPr>
          <w:rFonts w:cs="Arial"/>
        </w:rPr>
        <w:t xml:space="preserve"> </w:t>
      </w:r>
      <w:r w:rsidR="008E6247">
        <w:rPr>
          <w:rFonts w:cs="Arial"/>
        </w:rPr>
        <w:t>was</w:t>
      </w:r>
      <w:r w:rsidRPr="003B5B16">
        <w:rPr>
          <w:rFonts w:cs="Arial"/>
        </w:rPr>
        <w:t xml:space="preserve"> unable to reach consensus on </w:t>
      </w:r>
      <w:proofErr w:type="gramStart"/>
      <w:r w:rsidRPr="003B5B16">
        <w:rPr>
          <w:rFonts w:cs="Arial"/>
        </w:rPr>
        <w:t xml:space="preserve">a </w:t>
      </w:r>
      <w:r w:rsidR="0005307D">
        <w:rPr>
          <w:rFonts w:cs="Arial"/>
        </w:rPr>
        <w:t>single</w:t>
      </w:r>
      <w:proofErr w:type="gramEnd"/>
      <w:r w:rsidR="0005307D">
        <w:rPr>
          <w:rFonts w:cs="Arial"/>
        </w:rPr>
        <w:t xml:space="preserve"> </w:t>
      </w:r>
      <w:r w:rsidRPr="003B5B16">
        <w:rPr>
          <w:rFonts w:cs="Arial"/>
        </w:rPr>
        <w:t>registry architecture. Accordingly, this report summarizes the various proposals</w:t>
      </w:r>
      <w:r w:rsidR="00D821EF">
        <w:rPr>
          <w:rFonts w:cs="Arial"/>
        </w:rPr>
        <w:t xml:space="preserve"> for IP interconnection routing</w:t>
      </w:r>
      <w:r w:rsidR="008E6247">
        <w:rPr>
          <w:rFonts w:cs="Arial"/>
        </w:rPr>
        <w:t xml:space="preserve"> that have been discussed by the Task Force</w:t>
      </w:r>
      <w:r w:rsidRPr="003B5B16">
        <w:rPr>
          <w:rFonts w:cs="Arial"/>
        </w:rPr>
        <w:t>,</w:t>
      </w:r>
      <w:r w:rsidR="008E6247">
        <w:rPr>
          <w:rFonts w:cs="Arial"/>
        </w:rPr>
        <w:t xml:space="preserve"> both</w:t>
      </w:r>
      <w:r w:rsidRPr="003B5B16">
        <w:rPr>
          <w:rFonts w:cs="Arial"/>
        </w:rPr>
        <w:t xml:space="preserve"> registry and non-registry based, </w:t>
      </w:r>
      <w:r w:rsidR="00D821EF">
        <w:rPr>
          <w:rFonts w:cs="Arial"/>
        </w:rPr>
        <w:t>and how they</w:t>
      </w:r>
      <w:r w:rsidR="00724B19">
        <w:rPr>
          <w:rFonts w:cs="Arial"/>
        </w:rPr>
        <w:t xml:space="preserve"> may </w:t>
      </w:r>
      <w:r w:rsidR="008E6247">
        <w:rPr>
          <w:rFonts w:cs="Arial"/>
        </w:rPr>
        <w:t>interoperate</w:t>
      </w:r>
      <w:r w:rsidRPr="003B5B16">
        <w:rPr>
          <w:rFonts w:cs="Arial"/>
        </w:rPr>
        <w:t>.</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40" w:name="_Toc398748829"/>
      <w:r>
        <w:t>Purpose</w:t>
      </w:r>
      <w:bookmarkEnd w:id="40"/>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r w:rsidR="00296A6A">
        <w:rPr>
          <w:rFonts w:cs="Arial"/>
        </w:rPr>
        <w:t xml:space="preserve"> </w:t>
      </w:r>
      <w:r w:rsidR="0064694E" w:rsidRPr="00E60A67">
        <w:rPr>
          <w:rFonts w:cs="Arial"/>
        </w:rPr>
        <w:t xml:space="preserve">the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r w:rsidR="00E60A67">
        <w:rPr>
          <w:rFonts w:cs="Arial"/>
        </w:rPr>
        <w:t>comparison characteristics</w:t>
      </w:r>
      <w:r w:rsidR="00E60A67" w:rsidRPr="00E60A67">
        <w:rPr>
          <w:rFonts w:cs="Arial"/>
        </w:rPr>
        <w:t xml:space="preserve"> </w:t>
      </w:r>
      <w:r w:rsidRPr="00E60A67">
        <w:rPr>
          <w:rFonts w:cs="Arial"/>
        </w:rPr>
        <w:t>that provide an overview of the routing information elements required to recognize the comparative characteristics of each of 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Refinement of solution(s) that includes consideration of feedback obtained from the first report.  </w:t>
      </w:r>
    </w:p>
    <w:p w:rsidR="000527A0" w:rsidRPr="00E60A67" w:rsidRDefault="000527A0" w:rsidP="00A43DEE">
      <w:pPr>
        <w:pStyle w:val="ListParagraph"/>
        <w:numPr>
          <w:ilvl w:val="0"/>
          <w:numId w:val="38"/>
        </w:numPr>
        <w:jc w:val="left"/>
        <w:rPr>
          <w:rFonts w:cs="Arial"/>
        </w:rPr>
      </w:pPr>
      <w:r w:rsidRPr="00E60A67">
        <w:rPr>
          <w:rFonts w:cs="Arial"/>
        </w:rPr>
        <w:t>How existing in 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 xml:space="preserve">Finalization of </w:t>
      </w:r>
      <w:r w:rsidR="00E60A67">
        <w:rPr>
          <w:rFonts w:cs="Arial"/>
        </w:rPr>
        <w:t>comparison</w:t>
      </w:r>
      <w:r w:rsidR="000A3F7D">
        <w:rPr>
          <w:rFonts w:cs="Arial"/>
        </w:rPr>
        <w:t xml:space="preserve"> characteristics </w:t>
      </w:r>
    </w:p>
    <w:p w:rsidR="007B6D84" w:rsidRDefault="007B6D84" w:rsidP="003B7151">
      <w:pPr>
        <w:pStyle w:val="Heading2"/>
      </w:pPr>
      <w:bookmarkStart w:id="41" w:name="_Toc398748830"/>
      <w:r>
        <w:lastRenderedPageBreak/>
        <w:t>Application</w:t>
      </w:r>
      <w:bookmarkEnd w:id="41"/>
    </w:p>
    <w:p w:rsidR="00EB372E" w:rsidRPr="00D15ED5" w:rsidRDefault="00EB372E" w:rsidP="00441D40">
      <w:pPr>
        <w:spacing w:after="0"/>
        <w:rPr>
          <w:rFonts w:cs="Arial"/>
        </w:rPr>
      </w:pPr>
      <w:r w:rsidRPr="009D2F30">
        <w:rPr>
          <w:rFonts w:cs="Arial"/>
        </w:rPr>
        <w:t xml:space="preserve">This </w:t>
      </w:r>
      <w:r w:rsidR="003548D6">
        <w:rPr>
          <w:rFonts w:cs="Arial"/>
        </w:rPr>
        <w:t>is a Technical Report</w:t>
      </w:r>
      <w:r>
        <w:rPr>
          <w:rFonts w:cs="Arial"/>
        </w:rPr>
        <w:t>.</w:t>
      </w:r>
    </w:p>
    <w:p w:rsidR="007B6D84" w:rsidRDefault="007B6D84" w:rsidP="007B6D84"/>
    <w:p w:rsidR="007B6D84" w:rsidRDefault="00441D40" w:rsidP="005816BC">
      <w:pPr>
        <w:pStyle w:val="Heading1"/>
      </w:pPr>
      <w:bookmarkStart w:id="42" w:name="_Toc398748831"/>
      <w:r>
        <w:t>Informative</w:t>
      </w:r>
      <w:r w:rsidR="007B6D84">
        <w:t xml:space="preserve"> </w:t>
      </w:r>
      <w:commentRangeStart w:id="43"/>
      <w:r w:rsidR="007B6D84">
        <w:t>References</w:t>
      </w:r>
      <w:commentRangeEnd w:id="43"/>
      <w:r w:rsidR="00A421DF">
        <w:rPr>
          <w:rStyle w:val="CommentReference"/>
          <w:b w:val="0"/>
        </w:rPr>
        <w:commentReference w:id="43"/>
      </w:r>
      <w:bookmarkEnd w:id="42"/>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44" w:name="_Toc398748832"/>
      <w:r>
        <w:t>Definitions, Acronyms, &amp; Abbreviations</w:t>
      </w:r>
      <w:bookmarkEnd w:id="44"/>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45" w:name="_Toc398748833"/>
      <w:r>
        <w:t>Definitions</w:t>
      </w:r>
      <w:bookmarkEnd w:id="45"/>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46" w:name="_Toc398748834"/>
      <w:r>
        <w:t>Acronyms &amp; Abbreviations</w:t>
      </w:r>
      <w:bookmarkEnd w:id="46"/>
      <w:r>
        <w:t xml:space="preserve"> </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lastRenderedPageBreak/>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47" w:name="_Toc398748835"/>
      <w:r>
        <w:lastRenderedPageBreak/>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47"/>
    </w:p>
    <w:p w:rsidR="00052E31" w:rsidRDefault="00617815" w:rsidP="00052E31">
      <w:r>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t>connection information.</w:t>
      </w:r>
    </w:p>
    <w:p w:rsidR="00C60EFB" w:rsidRDefault="00C60EFB" w:rsidP="00C60EFB">
      <w:r>
        <w:t>For the purposes of this document the following descriptions apply</w:t>
      </w:r>
    </w:p>
    <w:p w:rsidR="00C60EFB" w:rsidRDefault="00C60EFB" w:rsidP="00C60EFB">
      <w:r>
        <w:rPr>
          <w:b/>
          <w:bCs/>
        </w:rPr>
        <w:t>The Business Integrated Routing and Rating Database System (BIRRDS</w:t>
      </w:r>
      <w:proofErr w:type="gramStart"/>
      <w:r>
        <w:rPr>
          <w:b/>
          <w:bCs/>
        </w:rPr>
        <w:t>)-</w:t>
      </w:r>
      <w:proofErr w:type="gramEnd"/>
      <w:r>
        <w:t xml:space="preserve"> is a neutrally administered database system used for inputting service provider call routing/rating and interconnection information for all telephone numbers within the North American numbering plan.  </w:t>
      </w:r>
      <w:r>
        <w:rPr>
          <w:rFonts w:cs="Arial"/>
        </w:rPr>
        <w:t xml:space="preserve">BIRRDS data is entered by Service Providers (SPs) and/or their agents. </w:t>
      </w:r>
      <w:r>
        <w:t xml:space="preserve">It consists of a collection of input databases from which the </w:t>
      </w:r>
      <w:r>
        <w:rPr>
          <w:b/>
          <w:bCs/>
        </w:rPr>
        <w:t xml:space="preserve">LERG™ Routing Guide </w:t>
      </w:r>
      <w:r>
        <w:t xml:space="preserve">is generated.  </w:t>
      </w:r>
    </w:p>
    <w:p w:rsidR="00C60EFB" w:rsidRDefault="00C60EFB" w:rsidP="00C60EFB">
      <w:r>
        <w:rPr>
          <w:b/>
          <w:bCs/>
        </w:rPr>
        <w:t>LERG™ Routing Guide -</w:t>
      </w:r>
      <w:r>
        <w:rPr>
          <w:rFonts w:cs="Arial"/>
        </w:rPr>
        <w:t xml:space="preserve"> </w:t>
      </w:r>
      <w:r>
        <w:t xml:space="preserve">is the North American telecom industry's common, authoritative </w:t>
      </w:r>
      <w:r w:rsidRPr="00C60EFB">
        <w:t>database</w:t>
      </w:r>
      <w:r>
        <w:t xml:space="preserve"> used for the exchange of PSTN routing information that is obtained from BIRRDS and </w:t>
      </w:r>
      <w:proofErr w:type="gramStart"/>
      <w:r>
        <w:t>is  based</w:t>
      </w:r>
      <w:proofErr w:type="gramEnd"/>
      <w:r>
        <w:t xml:space="preserve"> on telephone numbers within the North American numbering plan.               </w:t>
      </w:r>
    </w:p>
    <w:p w:rsidR="00C60EFB" w:rsidRDefault="00C60EFB" w:rsidP="00C60EFB">
      <w:pPr>
        <w:ind w:right="180"/>
      </w:pPr>
      <w:r>
        <w:rPr>
          <w:b/>
          <w:bCs/>
        </w:rPr>
        <w:t>Common Language® CLONES</w:t>
      </w:r>
      <w:r>
        <w:t xml:space="preserve"> </w:t>
      </w:r>
      <w:r>
        <w:rPr>
          <w:b/>
          <w:bCs/>
        </w:rPr>
        <w:t>Database</w:t>
      </w:r>
      <w:r>
        <w:t xml:space="preserve"> – is the common </w:t>
      </w:r>
      <w:proofErr w:type="gramStart"/>
      <w:r>
        <w:t>authorities</w:t>
      </w:r>
      <w:proofErr w:type="gramEnd"/>
      <w:r>
        <w:t xml:space="preserve"> database used for the development and exchange of Common Language Location Codes (CLLI</w:t>
      </w:r>
      <w:r>
        <w:rPr>
          <w:vertAlign w:val="superscript"/>
        </w:rPr>
        <w:t>TM</w:t>
      </w:r>
      <w:r>
        <w:t xml:space="preserve"> Codes) per </w:t>
      </w:r>
      <w:r>
        <w:rPr>
          <w:i/>
          <w:iCs/>
        </w:rPr>
        <w:t>ANSI T1.253,</w:t>
      </w:r>
      <w:r>
        <w:t xml:space="preserve"> </w:t>
      </w:r>
      <w:r>
        <w:rPr>
          <w:i/>
          <w:iCs/>
        </w:rPr>
        <w:t>Identification of Location Entities for the North American Telecommunications System</w:t>
      </w:r>
      <w:r>
        <w:t>. CLONES reference data is used in BIRRDS/LERG for the identification of switch and interface locations.</w:t>
      </w:r>
    </w:p>
    <w:p w:rsidR="00C60EFB" w:rsidRDefault="00C60EFB" w:rsidP="00C60EFB">
      <w:pPr>
        <w:ind w:right="180"/>
      </w:pPr>
      <w:r w:rsidRPr="00C60EFB">
        <w:rPr>
          <w:b/>
        </w:rPr>
        <w:t>NPAC</w:t>
      </w:r>
      <w:r>
        <w:t xml:space="preserve"> – a suggested definition for the scope of this routing document is “NPAC is the authoritative industry </w:t>
      </w:r>
      <w:r w:rsidR="00BB3321">
        <w:t xml:space="preserve">PSTN </w:t>
      </w:r>
      <w:r>
        <w:t xml:space="preserve">database for local number portability routing information as mandated by the FCC back in 1996.  It is currently administered by </w:t>
      </w:r>
      <w:proofErr w:type="spellStart"/>
      <w:r>
        <w:t>Neustar</w:t>
      </w:r>
      <w:proofErr w:type="spellEnd"/>
      <w:r>
        <w:t xml:space="preserve"> who was awarded the initial contract by the FCC.  NPAC is governed by the NANC/LNPA Working Group which is a Federal Advisory Committee to the FCC.”</w:t>
      </w:r>
    </w:p>
    <w:p w:rsidR="00C60EFB" w:rsidRDefault="00800B5D" w:rsidP="00C60EFB">
      <w:pPr>
        <w:ind w:right="180"/>
      </w:pPr>
      <w:r w:rsidRPr="00800B5D">
        <w:rPr>
          <w:b/>
        </w:rPr>
        <w:t>NECA</w:t>
      </w:r>
      <w:r>
        <w:t xml:space="preserve"> - assigns Company Codes per</w:t>
      </w:r>
      <w:r>
        <w:rPr>
          <w:i/>
        </w:rPr>
        <w:t xml:space="preserve"> ATIS-0300251.2007(R2012), </w:t>
      </w:r>
      <w:r w:rsidRPr="00800B5D">
        <w:rPr>
          <w:i/>
        </w:rPr>
        <w:t>Codes for Identification of Service Providers for Information Exchange </w:t>
      </w:r>
      <w:r>
        <w:rPr>
          <w:i/>
        </w:rPr>
        <w:t>used to identify service providers,</w:t>
      </w:r>
      <w:r>
        <w:t xml:space="preserve"> (used as OCNs in BIRRDS) to identify service providers that are associated with switch records, NPA/NXX records, etc.</w:t>
      </w:r>
    </w:p>
    <w:p w:rsidR="00C60EFB" w:rsidRDefault="00C60EFB" w:rsidP="00052E31"/>
    <w:p w:rsidR="001154DB" w:rsidRDefault="001154DB" w:rsidP="001154DB">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5D3FFD" w:rsidP="009F1D00">
      <w:pPr>
        <w:pStyle w:val="Heading2"/>
      </w:pPr>
      <w:bookmarkStart w:id="48" w:name="_Toc398748836"/>
      <w:r>
        <w:t xml:space="preserve">In-Use </w:t>
      </w:r>
      <w:r w:rsidR="009F1D00">
        <w:t>Method</w:t>
      </w:r>
      <w:r>
        <w:t xml:space="preserve"> Using Existing LERG and NPAC Data</w:t>
      </w:r>
      <w:bookmarkEnd w:id="48"/>
    </w:p>
    <w:p w:rsidR="00EA6939" w:rsidRPr="0071113E" w:rsidRDefault="00EA6939" w:rsidP="009F1D00">
      <w:pPr>
        <w:pStyle w:val="Heading3"/>
      </w:pPr>
      <w:bookmarkStart w:id="49" w:name="_Toc398748837"/>
      <w:r w:rsidRPr="0071113E">
        <w:t>Introduction</w:t>
      </w:r>
      <w:bookmarkEnd w:id="49"/>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50"/>
      <w:r w:rsidRPr="0071113E">
        <w:t>group</w:t>
      </w:r>
      <w:commentRangeEnd w:id="50"/>
      <w:r w:rsidR="00F4133B">
        <w:rPr>
          <w:rStyle w:val="CommentReference"/>
        </w:rPr>
        <w:commentReference w:id="50"/>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51" w:name="_Toc398748838"/>
      <w:r w:rsidRPr="00EA6939">
        <w:t>- Use Cases</w:t>
      </w:r>
      <w:bookmarkEnd w:id="51"/>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lastRenderedPageBreak/>
        <w:t xml:space="preserve">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52" w:name="_Toc398748839"/>
      <w:r w:rsidRPr="00EA6939">
        <w:t>Implementation</w:t>
      </w:r>
      <w:bookmarkEnd w:id="52"/>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53" w:name="_Toc398748840"/>
      <w:r w:rsidRPr="00EA6939">
        <w:t>- Provisioning</w:t>
      </w:r>
      <w:bookmarkEnd w:id="53"/>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lastRenderedPageBreak/>
        <w:drawing>
          <wp:inline distT="0" distB="0" distL="0" distR="0" wp14:anchorId="12A682D7" wp14:editId="18F63159">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54" w:name="_Toc398749485"/>
      <w:r>
        <w:t xml:space="preserve">Figure </w:t>
      </w:r>
      <w:r w:rsidR="00652007">
        <w:fldChar w:fldCharType="begin"/>
      </w:r>
      <w:r w:rsidR="00652007">
        <w:instrText xml:space="preserve"> SEQ Figure \* ARABIC </w:instrText>
      </w:r>
      <w:r w:rsidR="00652007">
        <w:fldChar w:fldCharType="separate"/>
      </w:r>
      <w:r w:rsidR="00305131">
        <w:rPr>
          <w:noProof/>
        </w:rPr>
        <w:t>1</w:t>
      </w:r>
      <w:r w:rsidR="00652007">
        <w:rPr>
          <w:noProof/>
        </w:rPr>
        <w:fldChar w:fldCharType="end"/>
      </w:r>
      <w:r>
        <w:t xml:space="preserve"> – Provisioning </w:t>
      </w:r>
      <w:r w:rsidR="00175E6E">
        <w:t xml:space="preserve">- </w:t>
      </w:r>
      <w:r w:rsidR="00B930EF">
        <w:t xml:space="preserve">In-Use </w:t>
      </w:r>
      <w:r>
        <w:t>Method</w:t>
      </w:r>
      <w:r w:rsidR="00B930EF">
        <w:t xml:space="preserve"> Using Existing LERG and NPAC Data</w:t>
      </w:r>
      <w:bookmarkEnd w:id="54"/>
    </w:p>
    <w:p w:rsidR="00EA6939" w:rsidRPr="00EA6939" w:rsidRDefault="00EA6939" w:rsidP="009F1D00">
      <w:pPr>
        <w:pStyle w:val="Heading3"/>
      </w:pPr>
      <w:bookmarkStart w:id="55" w:name="_Toc398748841"/>
      <w:r w:rsidRPr="00EA6939">
        <w:t>- Call Flow</w:t>
      </w:r>
      <w:bookmarkEnd w:id="55"/>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lastRenderedPageBreak/>
        <w:drawing>
          <wp:inline distT="0" distB="0" distL="0" distR="0" wp14:anchorId="37CFE27F" wp14:editId="3D3100B2">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56" w:name="_Toc398749486"/>
      <w:r>
        <w:t xml:space="preserve">Figure </w:t>
      </w:r>
      <w:r w:rsidR="00652007">
        <w:fldChar w:fldCharType="begin"/>
      </w:r>
      <w:r w:rsidR="00652007">
        <w:instrText xml:space="preserve"> SEQ Figure \* ARABIC </w:instrText>
      </w:r>
      <w:r w:rsidR="00652007">
        <w:fldChar w:fldCharType="separate"/>
      </w:r>
      <w:r w:rsidR="00305131">
        <w:rPr>
          <w:noProof/>
        </w:rPr>
        <w:t>2</w:t>
      </w:r>
      <w:r w:rsidR="00652007">
        <w:rPr>
          <w:noProof/>
        </w:rPr>
        <w:fldChar w:fldCharType="end"/>
      </w:r>
      <w:r>
        <w:t xml:space="preserve"> – Call Flow </w:t>
      </w:r>
      <w:r w:rsidR="00800B5D">
        <w:t>-</w:t>
      </w:r>
      <w:r w:rsidR="00B930EF">
        <w:t xml:space="preserve">In-Use </w:t>
      </w:r>
      <w:r>
        <w:t>Method</w:t>
      </w:r>
      <w:r w:rsidR="00B930EF">
        <w:t xml:space="preserve"> Using Existing LERG and NPAC Data</w:t>
      </w:r>
      <w:bookmarkEnd w:id="56"/>
    </w:p>
    <w:p w:rsidR="00BE08FE" w:rsidRPr="009F1D00" w:rsidRDefault="00EF5160" w:rsidP="009F1D00">
      <w:pPr>
        <w:pStyle w:val="Heading2"/>
        <w:ind w:left="666"/>
      </w:pPr>
      <w:bookmarkStart w:id="57" w:name="_Toc398748842"/>
      <w:r>
        <w:t xml:space="preserve"> In-Use Method with LERG Enhancements</w:t>
      </w:r>
      <w:bookmarkEnd w:id="57"/>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131D05" w:rsidRDefault="00131D05" w:rsidP="00131D05">
      <w:pPr>
        <w:ind w:right="180"/>
      </w:pPr>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p>
    <w:p w:rsidR="00131D05" w:rsidRDefault="00131D05" w:rsidP="00131D05">
      <w:pPr>
        <w:ind w:right="180"/>
      </w:pPr>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lastRenderedPageBreak/>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p w:rsidR="00131D05" w:rsidRDefault="00131D05" w:rsidP="00131D05">
      <w:pPr>
        <w:ind w:right="180"/>
      </w:pPr>
      <w:r>
        <w:br w:type="page"/>
      </w:r>
    </w:p>
    <w:p w:rsidR="00131D05" w:rsidRPr="006A4A51" w:rsidRDefault="00B930EF" w:rsidP="00131D05">
      <w:pPr>
        <w:pStyle w:val="Heading3"/>
        <w:ind w:left="810"/>
        <w:jc w:val="left"/>
        <w:rPr>
          <w:rStyle w:val="Heading3Char2"/>
        </w:rPr>
      </w:pPr>
      <w:bookmarkStart w:id="58" w:name="_Toc398748843"/>
      <w:r>
        <w:rPr>
          <w:rStyle w:val="Heading3Char2"/>
          <w:b/>
        </w:rPr>
        <w:lastRenderedPageBreak/>
        <w:t>Call</w:t>
      </w:r>
      <w:r w:rsidRPr="006A4A51">
        <w:rPr>
          <w:rStyle w:val="Heading3Char2"/>
          <w:b/>
        </w:rPr>
        <w:t xml:space="preserve"> </w:t>
      </w:r>
      <w:r w:rsidR="00131D05" w:rsidRPr="006A4A51">
        <w:rPr>
          <w:rStyle w:val="Heading3Char2"/>
          <w:b/>
        </w:rPr>
        <w:t>Flow</w:t>
      </w:r>
      <w:bookmarkEnd w:id="58"/>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1BF48F59" wp14:editId="102C0547">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59" w:name="_Toc398749487"/>
      <w:r>
        <w:t xml:space="preserve">Figure </w:t>
      </w:r>
      <w:r w:rsidR="00652007">
        <w:fldChar w:fldCharType="begin"/>
      </w:r>
      <w:r w:rsidR="00652007">
        <w:instrText xml:space="preserve"> SEQ Figure \* ARABIC </w:instrText>
      </w:r>
      <w:r w:rsidR="00652007">
        <w:fldChar w:fldCharType="separate"/>
      </w:r>
      <w:r w:rsidR="00305131">
        <w:rPr>
          <w:noProof/>
        </w:rPr>
        <w:t>3</w:t>
      </w:r>
      <w:r w:rsidR="00652007">
        <w:rPr>
          <w:noProof/>
        </w:rPr>
        <w:fldChar w:fldCharType="end"/>
      </w:r>
      <w:r w:rsidR="006B0146">
        <w:t xml:space="preserve"> Call </w:t>
      </w:r>
      <w:r w:rsidR="00B930EF">
        <w:t>Flow – In-Use Method using LERG Enhancements</w:t>
      </w:r>
      <w:bookmarkEnd w:id="59"/>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60" w:name="_Toc398748844"/>
      <w:r w:rsidRPr="00011892">
        <w:rPr>
          <w:rStyle w:val="Heading3Char2"/>
          <w:b/>
          <w:bCs/>
        </w:rPr>
        <w:lastRenderedPageBreak/>
        <w:t xml:space="preserve">Provisioning </w:t>
      </w:r>
      <w:bookmarkEnd w:id="60"/>
    </w:p>
    <w:p w:rsidR="00131D05" w:rsidRDefault="00131D05" w:rsidP="00131D05">
      <w:pPr>
        <w:ind w:right="180"/>
        <w:rPr>
          <w:rFonts w:ascii="Times New Roman" w:hAnsi="Times New Roman"/>
        </w:rPr>
      </w:pPr>
    </w:p>
    <w:p w:rsidR="00131D05" w:rsidRDefault="00305131" w:rsidP="00131D05">
      <w:pPr>
        <w:keepNext/>
        <w:tabs>
          <w:tab w:val="left" w:pos="7830"/>
        </w:tabs>
        <w:ind w:left="-450" w:right="270"/>
      </w:pPr>
      <w:r>
        <w:rPr>
          <w:noProof/>
        </w:rPr>
        <w:t>In</w:t>
      </w:r>
      <w:r w:rsidR="00131D05">
        <w:rPr>
          <w:noProof/>
        </w:rPr>
        <w:drawing>
          <wp:inline distT="0" distB="0" distL="0" distR="0" wp14:anchorId="03D33443" wp14:editId="58889C0C">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305131" w:rsidP="00305131">
      <w:pPr>
        <w:keepNext/>
        <w:tabs>
          <w:tab w:val="left" w:pos="7830"/>
        </w:tabs>
        <w:ind w:left="-540" w:right="270"/>
      </w:pPr>
      <w:r>
        <w:t xml:space="preserve"> </w:t>
      </w:r>
    </w:p>
    <w:p w:rsidR="00305131" w:rsidRDefault="00305131" w:rsidP="00305131">
      <w:pPr>
        <w:pStyle w:val="Caption"/>
      </w:pPr>
      <w:r>
        <w:t xml:space="preserve">Figure </w:t>
      </w:r>
      <w:r w:rsidR="00652007">
        <w:fldChar w:fldCharType="begin"/>
      </w:r>
      <w:r w:rsidR="00652007">
        <w:instrText xml:space="preserve"> SEQ Figure \* ARABIC </w:instrText>
      </w:r>
      <w:r w:rsidR="00652007">
        <w:fldChar w:fldCharType="separate"/>
      </w:r>
      <w:r>
        <w:rPr>
          <w:noProof/>
        </w:rPr>
        <w:t>4</w:t>
      </w:r>
      <w:r w:rsidR="00652007">
        <w:rPr>
          <w:noProof/>
        </w:rPr>
        <w:fldChar w:fldCharType="end"/>
      </w:r>
      <w:r>
        <w:t xml:space="preserve"> - Provisioning – In-Use Method using LERG Enhancements </w:t>
      </w:r>
    </w:p>
    <w:p w:rsidR="00131D05" w:rsidRPr="00305131" w:rsidRDefault="00131D05" w:rsidP="00305131">
      <w:pPr>
        <w:pStyle w:val="Caption"/>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lastRenderedPageBreak/>
        <w:t xml:space="preserve">(R5) </w:t>
      </w:r>
      <w:r>
        <w:rPr>
          <w:b w:val="0"/>
        </w:rPr>
        <w:t>Based on service providers’ local methods and procedures, the LERG data is loaded into service providers’ pre-provisioning systems and is used for switch translations</w:t>
      </w:r>
      <w:r w:rsidR="00B105AC">
        <w:rPr>
          <w:b w:val="0"/>
        </w:rPr>
        <w:t xml:space="preserve"> and routing</w:t>
      </w:r>
      <w:r>
        <w:rPr>
          <w:b w:val="0"/>
        </w:rPr>
        <w:t>.</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61" w:name="_Toc398748845"/>
      <w:r w:rsidRPr="00011892">
        <w:rPr>
          <w:rStyle w:val="Heading3Char2"/>
          <w:b/>
          <w:bCs/>
        </w:rPr>
        <w:t>Summary</w:t>
      </w:r>
      <w:bookmarkEnd w:id="61"/>
    </w:p>
    <w:p w:rsidR="00131D05" w:rsidRDefault="00131D05" w:rsidP="00131D05">
      <w:pPr>
        <w:ind w:right="180"/>
        <w:rPr>
          <w:rFonts w:ascii="Times New Roman" w:hAnsi="Times New Roman"/>
        </w:rPr>
      </w:pPr>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 xml:space="preserve">Avoids additional carrier overhead and costs that would result from adding network gear (hardware, software, and associated engineering, provisioning, monitoring, and security processes) for external </w:t>
      </w:r>
      <w:r>
        <w:lastRenderedPageBreak/>
        <w:t>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B105AC" w:rsidRDefault="00B105AC" w:rsidP="00B105AC">
      <w:pPr>
        <w:pStyle w:val="Heading2"/>
      </w:pPr>
      <w:bookmarkStart w:id="62" w:name="_Toc398748846"/>
      <w:r>
        <w:t>Enhancing LERG to provide a Tier 1 ENUM Registry</w:t>
      </w:r>
      <w:bookmarkEnd w:id="62"/>
    </w:p>
    <w:p w:rsidR="00B105AC" w:rsidRPr="00FE564B" w:rsidRDefault="002144DB" w:rsidP="00B105AC">
      <w:pPr>
        <w:spacing w:before="0" w:after="240"/>
        <w:rPr>
          <w:rFonts w:cs="Arial"/>
          <w:lang w:eastAsia="ja-JP"/>
        </w:rPr>
      </w:pPr>
      <w:r>
        <w:rPr>
          <w:rFonts w:cs="Arial"/>
          <w:lang w:eastAsia="ja-JP"/>
        </w:rPr>
        <w:t xml:space="preserve">This section describes how the LERG can be enhanced to support Tier 1 </w:t>
      </w:r>
      <w:proofErr w:type="gramStart"/>
      <w:r>
        <w:rPr>
          <w:rFonts w:cs="Arial"/>
          <w:lang w:eastAsia="ja-JP"/>
        </w:rPr>
        <w:t>ENUM  Registry</w:t>
      </w:r>
      <w:proofErr w:type="gramEnd"/>
      <w:r>
        <w:rPr>
          <w:rFonts w:cs="Arial"/>
          <w:lang w:eastAsia="ja-JP"/>
        </w:rPr>
        <w:t xml:space="preserve"> information exchange for routing of E.164 Addressed Communications over IP Network-to-Network Interconnection (NNI). </w:t>
      </w:r>
      <w:r w:rsidR="00B105AC" w:rsidRPr="00FE564B">
        <w:rPr>
          <w:rFonts w:cs="Arial"/>
          <w:lang w:eastAsia="ja-JP"/>
        </w:rPr>
        <w:t>To accommodate this capability the existing LERG would need to be enhanced to include Tier 2 Name Server information.</w:t>
      </w:r>
    </w:p>
    <w:p w:rsidR="00B105AC" w:rsidRPr="00FE564B" w:rsidRDefault="00B105AC" w:rsidP="00B105AC">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B105AC" w:rsidRPr="00FE564B" w:rsidRDefault="00B105AC" w:rsidP="00B105AC">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FE564B" w:rsidRDefault="00B105AC" w:rsidP="00B105AC">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FE564B" w:rsidRDefault="00B105AC" w:rsidP="00B105AC">
      <w:pPr>
        <w:spacing w:before="0" w:after="240"/>
        <w:rPr>
          <w:rFonts w:cs="Arial"/>
          <w:lang w:eastAsia="ja-JP"/>
        </w:rPr>
      </w:pPr>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p>
    <w:p w:rsidR="00B105AC" w:rsidRPr="006A4A51" w:rsidRDefault="00175E6E" w:rsidP="00B105AC">
      <w:pPr>
        <w:pStyle w:val="Heading3"/>
        <w:ind w:left="810"/>
        <w:jc w:val="left"/>
        <w:rPr>
          <w:rStyle w:val="Heading3Char2"/>
        </w:rPr>
      </w:pPr>
      <w:bookmarkStart w:id="63" w:name="_Toc398748847"/>
      <w:r>
        <w:rPr>
          <w:rStyle w:val="Heading3Char2"/>
          <w:b/>
        </w:rPr>
        <w:t>Call</w:t>
      </w:r>
      <w:r w:rsidR="00B105AC" w:rsidRPr="006A4A51">
        <w:rPr>
          <w:rStyle w:val="Heading3Char2"/>
          <w:b/>
        </w:rPr>
        <w:t xml:space="preserve"> Flow</w:t>
      </w:r>
      <w:bookmarkEnd w:id="63"/>
    </w:p>
    <w:p w:rsidR="00B105AC" w:rsidRDefault="00B105AC" w:rsidP="00B105AC">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B105AC" w:rsidRDefault="00B105AC" w:rsidP="00B105AC">
      <w:pPr>
        <w:pStyle w:val="TTBulletL1"/>
      </w:pPr>
      <w:r>
        <w:rPr>
          <w:noProof/>
        </w:rPr>
        <w:lastRenderedPageBreak/>
        <w:drawing>
          <wp:inline distT="0" distB="0" distL="0" distR="0" wp14:anchorId="0BD74A8F" wp14:editId="5D540D64">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B105AC" w:rsidP="003706D0">
      <w:pPr>
        <w:pStyle w:val="Caption"/>
      </w:pPr>
      <w:bookmarkStart w:id="64" w:name="_Toc398749489"/>
      <w:r>
        <w:t xml:space="preserve">Figure </w:t>
      </w:r>
      <w:r w:rsidR="003706D0">
        <w:fldChar w:fldCharType="begin"/>
      </w:r>
      <w:r w:rsidR="003706D0">
        <w:instrText xml:space="preserve"> SEQ Figure \* ARABIC </w:instrText>
      </w:r>
      <w:r w:rsidR="003706D0">
        <w:fldChar w:fldCharType="separate"/>
      </w:r>
      <w:r w:rsidR="00305131">
        <w:rPr>
          <w:noProof/>
        </w:rPr>
        <w:t>5</w:t>
      </w:r>
      <w:r w:rsidR="003706D0">
        <w:fldChar w:fldCharType="end"/>
      </w:r>
      <w:r w:rsidR="003706D0">
        <w:t>- Call Flow – Enhancing LERG to Provide Tier 1 ENUM</w:t>
      </w:r>
      <w:r>
        <w:t xml:space="preserve"> </w:t>
      </w:r>
      <w:r w:rsidR="003706D0">
        <w:t>Registry</w:t>
      </w:r>
      <w:bookmarkEnd w:id="64"/>
    </w:p>
    <w:p w:rsidR="00B105AC" w:rsidRDefault="00B105AC" w:rsidP="00B105AC">
      <w:pPr>
        <w:spacing w:before="120"/>
        <w:ind w:left="360"/>
      </w:pPr>
      <w:r>
        <w:t>1 – A session is initiated</w:t>
      </w:r>
    </w:p>
    <w:p w:rsidR="00B105AC" w:rsidRDefault="00B105AC" w:rsidP="00B105AC">
      <w:pPr>
        <w:ind w:left="720" w:hanging="360"/>
      </w:pPr>
      <w:r>
        <w:t>2 – The Call Session Control Function (CSCF) initiates a query to the Routing Server for a routing lookup (potentially using ENUM) in its local database</w:t>
      </w:r>
    </w:p>
    <w:p w:rsidR="00B105AC" w:rsidRDefault="00B105AC" w:rsidP="00B105AC">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Default="00B105AC" w:rsidP="00B105AC">
      <w:pPr>
        <w:spacing w:before="120"/>
        <w:ind w:left="720" w:hanging="360"/>
      </w:pPr>
      <w:r>
        <w:t>4 - The originating Service Provider resolves the FQDN in the NS record to the IP address of the terminating service provider’s Tier 2 ENUM server</w:t>
      </w:r>
    </w:p>
    <w:p w:rsidR="00B105AC" w:rsidRDefault="00B105AC" w:rsidP="00B105AC">
      <w:pPr>
        <w:spacing w:before="120"/>
        <w:ind w:left="720" w:hanging="360"/>
      </w:pPr>
      <w:r>
        <w:t>5 – The Routing Server sends an ENUM query to the terminating network’s Tier 2 Name Server</w:t>
      </w:r>
    </w:p>
    <w:p w:rsidR="00B105AC" w:rsidRDefault="00B105AC" w:rsidP="00B105AC">
      <w:pPr>
        <w:spacing w:before="120"/>
        <w:ind w:left="720" w:hanging="360"/>
      </w:pPr>
      <w:r>
        <w:t>6 – The terminating network’s Tier 2 Name Servicer returns interconnect information in the form of one or more Naming Authority Pointer (NAPTR) records within the ENUM response.</w:t>
      </w:r>
    </w:p>
    <w:p w:rsidR="00B105AC" w:rsidRDefault="00B105AC" w:rsidP="00B105AC">
      <w:pPr>
        <w:spacing w:before="120"/>
        <w:ind w:left="720" w:hanging="360"/>
      </w:pPr>
      <w:r>
        <w:t xml:space="preserve">7 -  The originating Service Provider resolves the hostname in the SIP URI to obtain the IP </w:t>
      </w:r>
      <w:r>
        <w:tab/>
        <w:t>address of an agreed upon terminating Service Provider’s ingress SBC</w:t>
      </w:r>
    </w:p>
    <w:p w:rsidR="00B105AC" w:rsidRDefault="00B105AC" w:rsidP="00B105AC">
      <w:pPr>
        <w:spacing w:before="120"/>
        <w:ind w:left="720" w:hanging="360"/>
      </w:pPr>
      <w:r>
        <w:t>8 – Based in the information received, the originating network initiates a SIP invite to the terminating network to initiate a SIP session</w:t>
      </w:r>
    </w:p>
    <w:p w:rsidR="00B105AC" w:rsidRDefault="00B105AC" w:rsidP="00B105AC">
      <w:pPr>
        <w:spacing w:before="120"/>
      </w:pPr>
      <w:r>
        <w:t xml:space="preserve">By implementing an ENUM approach, the network infrastructure needs to be enhanced to accommodate the additional queries as depicted in sequences 5-6.  </w:t>
      </w:r>
    </w:p>
    <w:p w:rsidR="00B105AC" w:rsidRDefault="00B105AC" w:rsidP="00B105AC">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Default="00B105AC" w:rsidP="00B105AC">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B105AC" w:rsidRPr="006A4A51" w:rsidRDefault="00B105AC" w:rsidP="00B105AC">
      <w:pPr>
        <w:pStyle w:val="Heading3"/>
        <w:ind w:left="810"/>
        <w:jc w:val="left"/>
        <w:rPr>
          <w:rStyle w:val="Heading3Char2"/>
        </w:rPr>
      </w:pPr>
      <w:bookmarkStart w:id="65" w:name="_Toc398748848"/>
      <w:r w:rsidRPr="006A4A51">
        <w:rPr>
          <w:rStyle w:val="Heading3Char2"/>
          <w:b/>
        </w:rPr>
        <w:t>Provisioning Flow</w:t>
      </w:r>
      <w:bookmarkEnd w:id="65"/>
    </w:p>
    <w:p w:rsidR="00B105AC" w:rsidRDefault="00B105AC" w:rsidP="00B105AC">
      <w:pPr>
        <w:spacing w:before="120"/>
        <w:rPr>
          <w:rFonts w:ascii="Times New Roman" w:hAnsi="Times New Roman"/>
        </w:rPr>
      </w:pPr>
      <w:r>
        <w:t>A high level reference architectures is proposed below that illustrates the provisioning sequence that could be implemented.</w:t>
      </w:r>
    </w:p>
    <w:p w:rsidR="00B105AC" w:rsidRDefault="00B105AC" w:rsidP="00B105AC">
      <w:pPr>
        <w:pStyle w:val="TTBulletL1"/>
        <w:ind w:left="270"/>
      </w:pPr>
      <w:r>
        <w:rPr>
          <w:noProof/>
        </w:rPr>
        <w:lastRenderedPageBreak/>
        <w:drawing>
          <wp:inline distT="0" distB="0" distL="0" distR="0" wp14:anchorId="7C928D11" wp14:editId="1D3AB9EB">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Default="00B105AC" w:rsidP="00B105AC">
      <w:pPr>
        <w:pStyle w:val="Caption"/>
      </w:pPr>
      <w:bookmarkStart w:id="66" w:name="_Toc398749490"/>
      <w:r>
        <w:t xml:space="preserve">Figure </w:t>
      </w:r>
      <w:r>
        <w:fldChar w:fldCharType="begin"/>
      </w:r>
      <w:r>
        <w:instrText xml:space="preserve"> SEQ Figure \* ARABIC </w:instrText>
      </w:r>
      <w:r>
        <w:fldChar w:fldCharType="separate"/>
      </w:r>
      <w:r w:rsidR="00305131">
        <w:rPr>
          <w:noProof/>
        </w:rPr>
        <w:t>6</w:t>
      </w:r>
      <w:r>
        <w:rPr>
          <w:noProof/>
        </w:rPr>
        <w:fldChar w:fldCharType="end"/>
      </w:r>
      <w:r>
        <w:t xml:space="preserve"> – Provisioning </w:t>
      </w:r>
      <w:r w:rsidR="003706D0">
        <w:t>- Enhancing LERG to Provide Tier 1 ENUM Registry</w:t>
      </w:r>
      <w:bookmarkEnd w:id="66"/>
    </w:p>
    <w:p w:rsidR="00B105AC" w:rsidRDefault="00B105AC" w:rsidP="00B105AC">
      <w:pPr>
        <w:spacing w:before="120"/>
      </w:pPr>
      <w:r>
        <w:t xml:space="preserve">As </w:t>
      </w:r>
      <w:r w:rsidR="003548D6">
        <w:t>depicted in Figure 6</w:t>
      </w:r>
      <w:r>
        <w:t>, service providers would obtain the Tier 2 Name Server information from the LERG to enable a functional IP Network to Network Interconnection.  This figure illustrates a logical view that may be realized by different operations systems.</w:t>
      </w:r>
    </w:p>
    <w:p w:rsidR="00B105AC" w:rsidRDefault="00B105AC" w:rsidP="00B105AC">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B105AC" w:rsidRDefault="00B105AC" w:rsidP="00B105AC">
      <w:pPr>
        <w:pStyle w:val="Caption"/>
        <w:jc w:val="left"/>
      </w:pPr>
      <w:r>
        <w:t>Routing Data Provisioning:</w:t>
      </w:r>
    </w:p>
    <w:p w:rsidR="00B105AC" w:rsidRDefault="00B105AC" w:rsidP="00B105AC">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and routing.</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B105AC" w:rsidRDefault="00B105AC" w:rsidP="00B105AC">
      <w:pPr>
        <w:pStyle w:val="Caption"/>
        <w:jc w:val="left"/>
      </w:pPr>
      <w:r>
        <w:t>Local Number Porting/Pooling Provisioning</w:t>
      </w:r>
      <w:r>
        <w:rPr>
          <w:bCs/>
        </w:rPr>
        <w:t>:</w:t>
      </w:r>
    </w:p>
    <w:p w:rsidR="00B105AC" w:rsidRDefault="00B105AC" w:rsidP="00B105AC">
      <w:pPr>
        <w:pStyle w:val="Caption"/>
        <w:jc w:val="left"/>
        <w:rPr>
          <w:b w:val="0"/>
          <w:bCs/>
        </w:rPr>
      </w:pPr>
      <w:r>
        <w:rPr>
          <w:b w:val="0"/>
        </w:rPr>
        <w:t>The following process involves a pre-port validation (PPV) process as well as a Number Pooling Administration Center (NPAC) Service Order Administration (SOA) process</w:t>
      </w:r>
    </w:p>
    <w:p w:rsidR="00B105AC" w:rsidRDefault="00B105AC" w:rsidP="00B105AC">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B105AC" w:rsidRDefault="00B105AC" w:rsidP="00B105AC">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B105AC" w:rsidRDefault="00B105AC" w:rsidP="00B105AC">
      <w:pPr>
        <w:pStyle w:val="Caption"/>
        <w:jc w:val="left"/>
      </w:pPr>
      <w:r>
        <w:t>Service Provider Provisioning</w:t>
      </w:r>
      <w:r>
        <w:rPr>
          <w:bCs/>
        </w:rPr>
        <w:t>:</w:t>
      </w:r>
    </w:p>
    <w:p w:rsidR="00B105AC" w:rsidRDefault="00B105AC" w:rsidP="00B105AC">
      <w:r>
        <w:t>Service providers negotiate interconnection and exchange and provide Address records for their Tier 2 name servers (S1).  In addition, address (A)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Default="00B105AC" w:rsidP="00B105AC">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B105AC" w:rsidRPr="00011892" w:rsidRDefault="00B105AC" w:rsidP="00B105AC">
      <w:pPr>
        <w:pStyle w:val="Heading3"/>
        <w:ind w:left="810"/>
        <w:jc w:val="left"/>
        <w:rPr>
          <w:rStyle w:val="Heading3Char2"/>
          <w:b/>
          <w:bCs/>
        </w:rPr>
      </w:pPr>
      <w:bookmarkStart w:id="67" w:name="_Toc398748849"/>
      <w:r w:rsidRPr="00011892">
        <w:rPr>
          <w:rStyle w:val="Heading3Char2"/>
          <w:b/>
          <w:bCs/>
        </w:rPr>
        <w:t>Summary</w:t>
      </w:r>
      <w:bookmarkEnd w:id="67"/>
    </w:p>
    <w:p w:rsidR="00B105AC" w:rsidRDefault="00B105AC" w:rsidP="00B105AC">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p>
    <w:p w:rsidR="00B105AC" w:rsidRDefault="00B105AC" w:rsidP="00B105AC">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Default="00B105AC" w:rsidP="00B105AC">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B105AC" w:rsidRDefault="00B105AC" w:rsidP="00B105AC">
      <w:pPr>
        <w:numPr>
          <w:ilvl w:val="0"/>
          <w:numId w:val="39"/>
        </w:numPr>
        <w:spacing w:before="120" w:after="0" w:line="260" w:lineRule="atLeast"/>
        <w:ind w:right="180"/>
        <w:jc w:val="left"/>
        <w:rPr>
          <w:i/>
        </w:rPr>
      </w:pPr>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Default="00B105AC" w:rsidP="00B105AC">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B105AC" w:rsidRDefault="00B105AC" w:rsidP="00B105AC">
      <w:pPr>
        <w:numPr>
          <w:ilvl w:val="0"/>
          <w:numId w:val="39"/>
        </w:numPr>
        <w:spacing w:before="120" w:after="0" w:line="260" w:lineRule="atLeast"/>
        <w:ind w:right="180"/>
        <w:jc w:val="left"/>
      </w:pPr>
      <w:r>
        <w:t>Support more frequent routing data exchanges than daily.</w:t>
      </w:r>
    </w:p>
    <w:p w:rsidR="00B105AC" w:rsidRDefault="00B105AC" w:rsidP="00B105AC">
      <w:pPr>
        <w:numPr>
          <w:ilvl w:val="0"/>
          <w:numId w:val="39"/>
        </w:numPr>
        <w:spacing w:before="120" w:after="0" w:line="260" w:lineRule="atLeast"/>
        <w:jc w:val="left"/>
      </w:pPr>
      <w:r>
        <w:t>Global access to the NS information requires further evaluation.</w:t>
      </w:r>
    </w:p>
    <w:p w:rsidR="00EA6939" w:rsidRPr="00EA6939" w:rsidRDefault="00EA6939" w:rsidP="00EA6939">
      <w:pPr>
        <w:spacing w:after="0"/>
        <w:rPr>
          <w:highlight w:val="yellow"/>
          <w:u w:val="single"/>
        </w:rPr>
      </w:pPr>
    </w:p>
    <w:p w:rsidR="007B6D84" w:rsidRDefault="007B6D84" w:rsidP="007B6D84">
      <w:bookmarkStart w:id="68" w:name="_MON_1205733250"/>
      <w:bookmarkEnd w:id="68"/>
    </w:p>
    <w:p w:rsidR="00E76758" w:rsidRDefault="008017DE" w:rsidP="005816BC">
      <w:pPr>
        <w:pStyle w:val="Heading1"/>
      </w:pPr>
      <w:bookmarkStart w:id="69" w:name="_Toc398748850"/>
      <w:r>
        <w:t xml:space="preserve">Per-TN </w:t>
      </w:r>
      <w:r w:rsidR="005816BC">
        <w:t xml:space="preserve">Overview and </w:t>
      </w:r>
      <w:r w:rsidR="00E76758">
        <w:t>Approach</w:t>
      </w:r>
      <w:r>
        <w:t>es</w:t>
      </w:r>
      <w:bookmarkEnd w:id="69"/>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Pr>
          <w:b w:val="0"/>
          <w:sz w:val="20"/>
        </w:rPr>
        <w:t xml:space="preserve">The reminder of this section discusses different approaches to providing per-TN routing information. The first four make use of an authoritative industry registry for the exchange of per-TN data while the fifth discusses the exchange of per-TN information on a bilateral basis or via ad hoc service bureaus </w:t>
      </w:r>
      <w:r w:rsidR="00F5506F">
        <w:rPr>
          <w:b w:val="0"/>
          <w:sz w:val="20"/>
        </w:rPr>
        <w:t>without the use of shared industry infrastructure</w:t>
      </w:r>
      <w:r>
        <w:rPr>
          <w:b w:val="0"/>
          <w:sz w:val="20"/>
        </w:rPr>
        <w:t>. Of the registry-based solutions, the first uses the registry to provide routing data (SIP URIs) directly while the other three 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and 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70" w:name="_Toc398748851"/>
      <w:r>
        <w:t>NPAC TN Registry</w:t>
      </w:r>
      <w:bookmarkEnd w:id="70"/>
    </w:p>
    <w:p w:rsidR="00CD5E2B" w:rsidRDefault="00CD5E2B" w:rsidP="00CD5E2B">
      <w:pPr>
        <w:textAlignment w:val="center"/>
      </w:pPr>
      <w:r>
        <w:t xml:space="preserve">This approach makes use of the existing Voice URI field in the NPAC subscription version, essentially as originally contemplated. This field provides a SIP URI that, in conjunction with bilaterally </w:t>
      </w:r>
      <w:proofErr w:type="gramStart"/>
      <w:r>
        <w:t>exchanged  IP</w:t>
      </w:r>
      <w:proofErr w:type="gramEnd"/>
      <w:r>
        <w:t xml:space="preserve"> </w:t>
      </w:r>
      <w:r>
        <w:lastRenderedPageBreak/>
        <w:t>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Oder 400 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a Change Order 400 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71" w:name="_Toc398748852"/>
      <w:r w:rsidRPr="005816BC">
        <w:rPr>
          <w:rStyle w:val="Heading3Char2"/>
          <w:bCs/>
          <w:iCs/>
        </w:rPr>
        <w:t>Provisioning</w:t>
      </w:r>
      <w:bookmarkEnd w:id="71"/>
    </w:p>
    <w:p w:rsidR="00CC6172" w:rsidRDefault="00CC6172" w:rsidP="00CC6172">
      <w:pPr>
        <w:textAlignment w:val="center"/>
      </w:pPr>
      <w:r>
        <w:t xml:space="preserve">This provisioning process is illustrated in Figure </w:t>
      </w:r>
      <w:r w:rsidR="003548D6">
        <w:t>7</w:t>
      </w:r>
      <w:r w:rsidR="00422B43">
        <w:t xml:space="preserve"> </w:t>
      </w:r>
      <w:r>
        <w:t xml:space="preserve">below. </w:t>
      </w:r>
    </w:p>
    <w:p w:rsidR="00CC6172" w:rsidRDefault="00CC6172" w:rsidP="00CC6172">
      <w:pPr>
        <w:textAlignment w:val="center"/>
      </w:pPr>
      <w:r>
        <w:rPr>
          <w:noProof/>
        </w:rPr>
        <w:drawing>
          <wp:inline distT="0" distB="0" distL="0" distR="0" wp14:anchorId="70FB1FD8" wp14:editId="6D019980">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bookmarkStart w:id="72" w:name="_Toc398749491"/>
      <w:r>
        <w:t xml:space="preserve">Figure </w:t>
      </w:r>
      <w:r w:rsidR="00652007">
        <w:fldChar w:fldCharType="begin"/>
      </w:r>
      <w:r w:rsidR="00652007">
        <w:instrText xml:space="preserve"> SEQ Figure \* ARABIC </w:instrText>
      </w:r>
      <w:r w:rsidR="00652007">
        <w:fldChar w:fldCharType="separate"/>
      </w:r>
      <w:r w:rsidR="00305131">
        <w:rPr>
          <w:noProof/>
        </w:rPr>
        <w:t>7</w:t>
      </w:r>
      <w:r w:rsidR="00652007">
        <w:rPr>
          <w:noProof/>
        </w:rPr>
        <w:fldChar w:fldCharType="end"/>
      </w:r>
      <w:r>
        <w:t xml:space="preserve"> – Provisioning </w:t>
      </w:r>
      <w:r w:rsidR="003706D0">
        <w:t xml:space="preserve">- </w:t>
      </w:r>
      <w:r w:rsidR="004C4F9B">
        <w:t>NPAC TN Registry</w:t>
      </w:r>
      <w:bookmarkEnd w:id="72"/>
    </w:p>
    <w:p w:rsidR="00CC6172" w:rsidRDefault="00CC6172" w:rsidP="00CC6172">
      <w:pPr>
        <w:textAlignment w:val="center"/>
      </w:pPr>
    </w:p>
    <w:p w:rsidR="00C10B7F" w:rsidRDefault="00C10B7F" w:rsidP="005D1D40">
      <w:pPr>
        <w:pStyle w:val="Heading4"/>
      </w:pPr>
      <w:r>
        <w:lastRenderedPageBreak/>
        <w:t xml:space="preserve">Provisioning the NPAC Registry with Non-compliant SOA and LSMS </w:t>
      </w:r>
    </w:p>
    <w:p w:rsidR="00C10B7F" w:rsidRDefault="00C10B7F" w:rsidP="00C10B7F">
      <w:pPr>
        <w:pStyle w:val="BodyText"/>
        <w:jc w:val="left"/>
        <w:rPr>
          <w:b w:val="0"/>
          <w:sz w:val="20"/>
        </w:rPr>
      </w:pPr>
      <w:r w:rsidRPr="000978AD">
        <w:rPr>
          <w:b w:val="0"/>
          <w:sz w:val="20"/>
        </w:rPr>
        <w:t xml:space="preserve">The </w:t>
      </w:r>
      <w:r w:rsidR="00F478FF">
        <w:rPr>
          <w:b w:val="0"/>
          <w:sz w:val="20"/>
        </w:rPr>
        <w:t>provisioning approach</w:t>
      </w:r>
      <w:r w:rsidRPr="000978AD">
        <w:rPr>
          <w:b w:val="0"/>
          <w:sz w:val="20"/>
        </w:rPr>
        <w:t xml:space="preserve"> introduced in this section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The </w:t>
      </w:r>
      <w:r w:rsidR="00F478FF">
        <w:rPr>
          <w:b w:val="0"/>
          <w:sz w:val="20"/>
        </w:rPr>
        <w:t>approach</w:t>
      </w:r>
      <w:r w:rsidRPr="000978AD">
        <w:rPr>
          <w:b w:val="0"/>
          <w:sz w:val="20"/>
        </w:rPr>
        <w:t xml:space="preserve">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w:t>
      </w:r>
      <w:r w:rsidR="00F478FF">
        <w:rPr>
          <w:b w:val="0"/>
          <w:sz w:val="20"/>
        </w:rPr>
        <w:t>approach</w:t>
      </w:r>
      <w:r w:rsidRPr="000978AD">
        <w:rPr>
          <w:b w:val="0"/>
          <w:sz w:val="20"/>
        </w:rPr>
        <w:t xml:space="preserve"> focuses on </w:t>
      </w:r>
      <w:r>
        <w:rPr>
          <w:b w:val="0"/>
          <w:sz w:val="20"/>
        </w:rPr>
        <w:t xml:space="preserve">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Default="00C10B7F" w:rsidP="00C10B7F">
      <w:pPr>
        <w:pStyle w:val="BodyText"/>
        <w:spacing w:before="0" w:after="0"/>
        <w:jc w:val="left"/>
        <w:rPr>
          <w:b w:val="0"/>
          <w:sz w:val="20"/>
        </w:rPr>
      </w:pPr>
      <w:r w:rsidRPr="001E628E">
        <w:rPr>
          <w:rFonts w:cs="Arial"/>
          <w:b w:val="0"/>
          <w:bCs/>
          <w:sz w:val="20"/>
        </w:rPr>
        <w:t>SOA</w:t>
      </w:r>
      <w:r>
        <w:rPr>
          <w:rFonts w:cs="Arial"/>
          <w:b w:val="0"/>
          <w:bCs/>
          <w:sz w:val="20"/>
        </w:rPr>
        <w:t xml:space="preserve"> is </w:t>
      </w:r>
      <w:r w:rsidRPr="001E628E">
        <w:rPr>
          <w:rFonts w:cs="Arial"/>
          <w:b w:val="0"/>
          <w:bCs/>
          <w:sz w:val="20"/>
        </w:rPr>
        <w:t xml:space="preserve">one of several ways to provision routing data into the NPAC.  In addition to multiple third party SOA options, there are other ways to </w:t>
      </w:r>
      <w:r>
        <w:rPr>
          <w:rFonts w:cs="Arial"/>
          <w:b w:val="0"/>
          <w:bCs/>
          <w:sz w:val="20"/>
        </w:rPr>
        <w:t xml:space="preserve">directly </w:t>
      </w:r>
      <w:r w:rsidRPr="001E628E">
        <w:rPr>
          <w:rFonts w:cs="Arial"/>
          <w:b w:val="0"/>
          <w:bCs/>
          <w:sz w:val="20"/>
        </w:rPr>
        <w:t xml:space="preserve">provision routing data into the NPAC or indirectly </w:t>
      </w:r>
      <w:r>
        <w:rPr>
          <w:rFonts w:cs="Arial"/>
          <w:b w:val="0"/>
          <w:bCs/>
          <w:sz w:val="20"/>
        </w:rPr>
        <w:t xml:space="preserve">provision data </w:t>
      </w:r>
      <w:r w:rsidRPr="001E628E">
        <w:rPr>
          <w:rFonts w:cs="Arial"/>
          <w:b w:val="0"/>
          <w:bCs/>
          <w:sz w:val="20"/>
        </w:rPr>
        <w:t xml:space="preserve">through a Service Bureau entity.  </w:t>
      </w:r>
      <w:r>
        <w:rPr>
          <w:rFonts w:cs="Arial"/>
          <w:b w:val="0"/>
          <w:bCs/>
          <w:sz w:val="20"/>
        </w:rPr>
        <w:t xml:space="preserve">For the remainder of this description, a </w:t>
      </w:r>
      <w:r>
        <w:rPr>
          <w:b w:val="0"/>
          <w:sz w:val="20"/>
        </w:rPr>
        <w:t xml:space="preserve">compliant SOA (or equivalent) is one that supports the following two previously approved NANC change orders:  NANC 429, “Uniform Resource Identifier (URI) Field for Voice” and NANC 442, “Pseudo Location Routing Number (LRN)”. </w:t>
      </w:r>
    </w:p>
    <w:p w:rsidR="00C10B7F" w:rsidRDefault="00C10B7F" w:rsidP="00C10B7F">
      <w:pPr>
        <w:pStyle w:val="BodyText"/>
        <w:spacing w:before="0" w:after="0"/>
        <w:jc w:val="left"/>
        <w:rPr>
          <w:b w:val="0"/>
          <w:sz w:val="20"/>
        </w:rPr>
      </w:pPr>
    </w:p>
    <w:p w:rsidR="00C10B7F" w:rsidRPr="006E07FE" w:rsidRDefault="00C10B7F" w:rsidP="00C10B7F">
      <w:pPr>
        <w:spacing w:before="0" w:after="0"/>
        <w:jc w:val="left"/>
        <w:rPr>
          <w:rFonts w:cs="Arial"/>
        </w:rPr>
      </w:pPr>
      <w:r w:rsidRPr="006E07FE">
        <w:rPr>
          <w:rFonts w:cs="Arial"/>
        </w:rPr>
        <w:t xml:space="preserve">LSMS is used to receive information from the </w:t>
      </w:r>
      <w:r>
        <w:rPr>
          <w:rFonts w:cs="Arial"/>
        </w:rPr>
        <w:t>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Default="00C10B7F" w:rsidP="00C10B7F">
      <w:pPr>
        <w:pStyle w:val="BodyText"/>
        <w:spacing w:before="0" w:after="0"/>
        <w:jc w:val="left"/>
        <w:rPr>
          <w:b w:val="0"/>
          <w:sz w:val="20"/>
        </w:rPr>
      </w:pPr>
    </w:p>
    <w:p w:rsidR="00C10B7F" w:rsidRDefault="00C10B7F" w:rsidP="00C10B7F">
      <w:pPr>
        <w:pStyle w:val="BodyText"/>
        <w:spacing w:before="0" w:after="0"/>
        <w:jc w:val="left"/>
        <w:rPr>
          <w:b w:val="0"/>
          <w:sz w:val="20"/>
        </w:rPr>
      </w:pPr>
      <w:r>
        <w:rPr>
          <w:b w:val="0"/>
          <w:sz w:val="20"/>
        </w:rPr>
        <w:t>It should be noted that NANC 372, “SOA/LSMS</w:t>
      </w:r>
      <w:r w:rsidRPr="004D5CE8">
        <w:rPr>
          <w:b w:val="0"/>
          <w:sz w:val="20"/>
        </w:rPr>
        <w:t xml:space="preserve"> Interface Protocol Alternatives</w:t>
      </w:r>
      <w:r>
        <w:rPr>
          <w:b w:val="0"/>
          <w:sz w:val="20"/>
        </w:rPr>
        <w:t>”,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4E424A" w:rsidRDefault="00C10B7F" w:rsidP="00C10B7F">
      <w:pPr>
        <w:pStyle w:val="BodyText"/>
        <w:spacing w:before="0" w:after="0"/>
        <w:jc w:val="left"/>
        <w:rPr>
          <w:b w:val="0"/>
          <w:sz w:val="20"/>
        </w:rPr>
      </w:pPr>
    </w:p>
    <w:p w:rsidR="00C10B7F" w:rsidRDefault="00C10B7F" w:rsidP="00C10B7F">
      <w:pPr>
        <w:pStyle w:val="BodyText"/>
        <w:jc w:val="left"/>
        <w:rPr>
          <w:b w:val="0"/>
          <w:sz w:val="20"/>
        </w:rPr>
      </w:pPr>
      <w:r w:rsidRPr="000978AD">
        <w:rPr>
          <w:b w:val="0"/>
          <w:sz w:val="20"/>
        </w:rPr>
        <w:t>The following description</w:t>
      </w:r>
      <w:r>
        <w:rPr>
          <w:b w:val="0"/>
          <w:sz w:val="20"/>
        </w:rPr>
        <w:t xml:space="preserve"> does </w:t>
      </w:r>
      <w:r w:rsidRPr="000978AD">
        <w:rPr>
          <w:b w:val="0"/>
          <w:sz w:val="20"/>
        </w:rPr>
        <w:t xml:space="preserve">assume that </w:t>
      </w:r>
      <w:r>
        <w:rPr>
          <w:b w:val="0"/>
          <w:sz w:val="20"/>
        </w:rPr>
        <w:t>certain</w:t>
      </w:r>
      <w:r w:rsidRPr="000978AD">
        <w:rPr>
          <w:b w:val="0"/>
          <w:sz w:val="20"/>
        </w:rPr>
        <w:t xml:space="preserve"> one-time activities previously discussed </w:t>
      </w:r>
      <w:r>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Pr>
          <w:b w:val="0"/>
          <w:sz w:val="20"/>
        </w:rPr>
        <w:t xml:space="preserve">further </w:t>
      </w:r>
      <w:r w:rsidRPr="000978AD">
        <w:rPr>
          <w:b w:val="0"/>
          <w:sz w:val="20"/>
        </w:rPr>
        <w:t xml:space="preserve">be noted that this </w:t>
      </w:r>
      <w:r w:rsidR="00F478FF">
        <w:rPr>
          <w:b w:val="0"/>
          <w:sz w:val="20"/>
        </w:rPr>
        <w:t>provisioning approach</w:t>
      </w:r>
      <w:r w:rsidRPr="000978AD">
        <w:rPr>
          <w:b w:val="0"/>
          <w:sz w:val="20"/>
        </w:rPr>
        <w:t xml:space="preserve">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w:t>
      </w:r>
      <w:r w:rsidR="00F478FF">
        <w:rPr>
          <w:b w:val="0"/>
          <w:sz w:val="20"/>
        </w:rPr>
        <w:t>this</w:t>
      </w:r>
      <w:r>
        <w:rPr>
          <w:b w:val="0"/>
          <w:sz w:val="20"/>
        </w:rPr>
        <w:t xml:space="preserve"> Section 5.1</w:t>
      </w:r>
      <w:r w:rsidRPr="000978AD">
        <w:rPr>
          <w:b w:val="0"/>
          <w:sz w:val="20"/>
        </w:rPr>
        <w:t xml:space="preserve">).  The remainder of this 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 xml:space="preserve">&lt;telephone number&gt;@sbc1.sp1.com”.  However, the </w:t>
      </w:r>
      <w:r w:rsidR="00F478FF">
        <w:rPr>
          <w:b w:val="0"/>
          <w:sz w:val="20"/>
        </w:rPr>
        <w:t>approach</w:t>
      </w:r>
      <w:r>
        <w:rPr>
          <w:b w:val="0"/>
          <w:sz w:val="20"/>
        </w:rPr>
        <w:t xml:space="preserve"> doesn’t rely on just this specific URI format.</w:t>
      </w:r>
    </w:p>
    <w:p w:rsidR="00C10B7F" w:rsidRPr="000978AD" w:rsidRDefault="00C10B7F" w:rsidP="00C10B7F">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C10B7F" w:rsidRDefault="00C10B7F" w:rsidP="00C10B7F">
      <w:pPr>
        <w:pStyle w:val="BodyText"/>
        <w:jc w:val="left"/>
        <w:rPr>
          <w:b w:val="0"/>
          <w:sz w:val="20"/>
        </w:rPr>
      </w:pPr>
      <w:r>
        <w:rPr>
          <w:b w:val="0"/>
          <w:sz w:val="20"/>
        </w:rPr>
        <w:t>The</w:t>
      </w:r>
      <w:r w:rsidRPr="000978AD">
        <w:rPr>
          <w:b w:val="0"/>
          <w:sz w:val="20"/>
        </w:rPr>
        <w:t xml:space="preserve"> key constraint in the NPAC has since been removed through NANC </w:t>
      </w:r>
      <w:r>
        <w:rPr>
          <w:b w:val="0"/>
          <w:sz w:val="20"/>
        </w:rPr>
        <w:t xml:space="preserve">442 </w:t>
      </w:r>
      <w:r w:rsidRPr="000978AD">
        <w:rPr>
          <w:b w:val="0"/>
          <w:sz w:val="20"/>
        </w:rPr>
        <w:t xml:space="preserve">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w:t>
      </w:r>
      <w:r>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Pr>
          <w:b w:val="0"/>
          <w:sz w:val="20"/>
        </w:rPr>
        <w:t>distribute</w:t>
      </w:r>
      <w:r w:rsidRPr="000978AD">
        <w:rPr>
          <w:b w:val="0"/>
          <w:sz w:val="20"/>
        </w:rPr>
        <w:t xml:space="preserve"> NPAC database records with URI field data.</w:t>
      </w:r>
    </w:p>
    <w:p w:rsidR="00C10B7F" w:rsidRDefault="00C10B7F" w:rsidP="00C10B7F">
      <w:pPr>
        <w:pStyle w:val="BodyText"/>
        <w:jc w:val="left"/>
        <w:rPr>
          <w:b w:val="0"/>
          <w:sz w:val="20"/>
        </w:rPr>
      </w:pPr>
      <w:r>
        <w:rPr>
          <w:b w:val="0"/>
          <w:sz w:val="20"/>
        </w:rPr>
        <w:lastRenderedPageBreak/>
        <w:t xml:space="preserve">Figure </w:t>
      </w:r>
      <w:r w:rsidR="003548D6">
        <w:rPr>
          <w:b w:val="0"/>
          <w:sz w:val="20"/>
        </w:rPr>
        <w:t>8</w:t>
      </w:r>
      <w:r>
        <w:rPr>
          <w:b w:val="0"/>
          <w:sz w:val="20"/>
        </w:rPr>
        <w:t xml:space="preserve"> below highlights the provisioning and distribution aspects of the </w:t>
      </w:r>
      <w:r w:rsidR="00F478FF">
        <w:rPr>
          <w:b w:val="0"/>
          <w:sz w:val="20"/>
        </w:rPr>
        <w:t>approach</w:t>
      </w:r>
      <w:r>
        <w:rPr>
          <w:b w:val="0"/>
          <w:sz w:val="20"/>
        </w:rPr>
        <w:t xml:space="preserve">. </w:t>
      </w:r>
      <w:r w:rsidRPr="00C13FA1">
        <w:rPr>
          <w:b w:val="0"/>
          <w:sz w:val="20"/>
        </w:rPr>
        <w:t xml:space="preserve"> </w:t>
      </w:r>
      <w:r>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Pr>
          <w:b w:val="0"/>
          <w:sz w:val="20"/>
        </w:rPr>
        <w:t>-XXXX.  Further, SP1 has both a compliant SOA and LSMS while SP2 does not.</w:t>
      </w:r>
    </w:p>
    <w:p w:rsidR="00C10B7F" w:rsidRDefault="00C10B7F" w:rsidP="00C10B7F">
      <w:pPr>
        <w:pStyle w:val="BodyText"/>
        <w:jc w:val="left"/>
        <w:rPr>
          <w:b w:val="0"/>
          <w:sz w:val="20"/>
        </w:rPr>
      </w:pPr>
    </w:p>
    <w:p w:rsidR="00C10B7F" w:rsidRDefault="00C10B7F" w:rsidP="00C10B7F">
      <w:pPr>
        <w:pStyle w:val="BodyText"/>
        <w:rPr>
          <w:b w:val="0"/>
          <w:sz w:val="20"/>
        </w:rPr>
      </w:pPr>
      <w:r>
        <w:rPr>
          <w:noProof/>
        </w:rPr>
        <w:drawing>
          <wp:inline distT="0" distB="0" distL="0" distR="0" wp14:anchorId="716AC366" wp14:editId="27D722A8">
            <wp:extent cx="6400800" cy="43620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400800" cy="4362096"/>
                    </a:xfrm>
                    <a:prstGeom prst="rect">
                      <a:avLst/>
                    </a:prstGeom>
                    <a:noFill/>
                    <a:ln w="9525">
                      <a:noFill/>
                      <a:miter lim="800000"/>
                      <a:headEnd/>
                      <a:tailEnd/>
                    </a:ln>
                  </pic:spPr>
                </pic:pic>
              </a:graphicData>
            </a:graphic>
          </wp:inline>
        </w:drawing>
      </w:r>
    </w:p>
    <w:p w:rsidR="003706D0" w:rsidRDefault="003706D0" w:rsidP="003706D0">
      <w:pPr>
        <w:pStyle w:val="Caption"/>
      </w:pPr>
      <w:bookmarkStart w:id="73" w:name="_Toc398749492"/>
      <w:r>
        <w:t xml:space="preserve">Figure </w:t>
      </w:r>
      <w:r>
        <w:fldChar w:fldCharType="begin"/>
      </w:r>
      <w:r>
        <w:instrText xml:space="preserve"> SEQ Figure \* ARABIC </w:instrText>
      </w:r>
      <w:r>
        <w:fldChar w:fldCharType="separate"/>
      </w:r>
      <w:r w:rsidR="00305131">
        <w:rPr>
          <w:noProof/>
        </w:rPr>
        <w:t>8</w:t>
      </w:r>
      <w:r>
        <w:fldChar w:fldCharType="end"/>
      </w:r>
      <w:r>
        <w:t xml:space="preserve"> </w:t>
      </w:r>
      <w:r w:rsidR="005B2A57">
        <w:t>–</w:t>
      </w:r>
      <w:r>
        <w:t xml:space="preserve"> </w:t>
      </w:r>
      <w:r w:rsidR="005B2A57">
        <w:t xml:space="preserve">Provisioning NPAC as a </w:t>
      </w:r>
      <w:r>
        <w:t>TN Registry for Non-compliant SOA and LSMS</w:t>
      </w:r>
      <w:bookmarkEnd w:id="73"/>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C10B7F" w:rsidRPr="00BD55C2" w:rsidTr="00800B5D">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IP Address </w:t>
            </w:r>
          </w:p>
        </w:tc>
      </w:tr>
      <w:tr w:rsidR="00C10B7F" w:rsidRPr="00BD55C2" w:rsidTr="00800B5D">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138.34.23.3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182.36.12.1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58.23.12.90 </w:t>
            </w:r>
          </w:p>
        </w:tc>
      </w:tr>
    </w:tbl>
    <w:p w:rsidR="00C10B7F" w:rsidRDefault="00C10B7F" w:rsidP="00C10B7F">
      <w:pPr>
        <w:widowControl w:val="0"/>
        <w:spacing w:before="0" w:after="240"/>
        <w:ind w:left="810" w:hanging="450"/>
        <w:jc w:val="left"/>
        <w:rPr>
          <w:rFonts w:cs="Arial"/>
          <w:lang w:eastAsia="ja-JP"/>
        </w:rPr>
      </w:pPr>
    </w:p>
    <w:p w:rsidR="00C10B7F" w:rsidRDefault="00C10B7F" w:rsidP="00C10B7F">
      <w:pPr>
        <w:widowControl w:val="0"/>
        <w:numPr>
          <w:ilvl w:val="0"/>
          <w:numId w:val="46"/>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Pr>
          <w:rFonts w:cs="Arial"/>
          <w:lang w:eastAsia="ja-JP"/>
        </w:rPr>
        <w:t xml:space="preserve">SP2 (along with other existing NPAC data for number </w:t>
      </w:r>
      <w:r>
        <w:rPr>
          <w:rFonts w:cs="Arial"/>
          <w:lang w:eastAsia="ja-JP"/>
        </w:rPr>
        <w:lastRenderedPageBreak/>
        <w:t>portability) through its LSMS (or equivalent).</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extracts</w:t>
      </w:r>
      <w:r w:rsidRPr="00FE564B">
        <w:rPr>
          <w:rFonts w:cs="Arial"/>
          <w:lang w:eastAsia="ja-JP"/>
        </w:rPr>
        <w:t xml:space="preserve"> </w:t>
      </w:r>
      <w:r>
        <w:rPr>
          <w:rFonts w:cs="Arial"/>
          <w:lang w:eastAsia="ja-JP"/>
        </w:rPr>
        <w:t xml:space="preserve">per-TN VOICE URI field data from SP2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SP1. </w:t>
      </w:r>
    </w:p>
    <w:p w:rsidR="00C10B7F" w:rsidRDefault="00C10B7F" w:rsidP="00C10B7F">
      <w:pPr>
        <w:pStyle w:val="BodyText"/>
        <w:widowControl w:val="0"/>
        <w:numPr>
          <w:ilvl w:val="0"/>
          <w:numId w:val="46"/>
        </w:numPr>
        <w:spacing w:before="0"/>
        <w:ind w:left="810" w:hanging="450"/>
        <w:jc w:val="left"/>
        <w:rPr>
          <w:b w:val="0"/>
          <w:sz w:val="20"/>
        </w:rPr>
      </w:pPr>
      <w:r>
        <w:rPr>
          <w:b w:val="0"/>
          <w:sz w:val="20"/>
        </w:rPr>
        <w:t>SP2 shares per-TN VOICE URI routing data with an established third party service.  For example,</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designates</w:t>
      </w:r>
      <w:r>
        <w:rPr>
          <w:b w:val="0"/>
          <w:sz w:val="20"/>
        </w:rPr>
        <w:t xml:space="preserve"> existing</w:t>
      </w:r>
      <w:r w:rsidRPr="000978AD">
        <w:rPr>
          <w:b w:val="0"/>
          <w:sz w:val="20"/>
        </w:rPr>
        <w:t xml:space="preserve"> </w:t>
      </w:r>
      <w:r>
        <w:rPr>
          <w:b w:val="0"/>
          <w:sz w:val="20"/>
        </w:rPr>
        <w:t xml:space="preserve">TN </w:t>
      </w:r>
      <w:r w:rsidRPr="000978AD">
        <w:rPr>
          <w:b w:val="0"/>
          <w:sz w:val="20"/>
        </w:rPr>
        <w:t>508-332</w:t>
      </w:r>
      <w:r>
        <w:rPr>
          <w:b w:val="0"/>
          <w:sz w:val="20"/>
        </w:rPr>
        <w:t>-2319</w:t>
      </w:r>
      <w:r w:rsidRPr="000978AD">
        <w:rPr>
          <w:b w:val="0"/>
          <w:sz w:val="20"/>
        </w:rPr>
        <w:t xml:space="preserve"> for IP interconnection</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 xml:space="preserve">party supporting this </w:t>
      </w:r>
      <w:r w:rsidR="00F478FF">
        <w:rPr>
          <w:b w:val="0"/>
          <w:sz w:val="20"/>
        </w:rPr>
        <w:t>approach</w:t>
      </w:r>
      <w:r w:rsidRPr="000978AD">
        <w:rPr>
          <w:b w:val="0"/>
          <w:sz w:val="20"/>
        </w:rPr>
        <w:t xml:space="preserve"> (if such an LOA doesn’t already exist)</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 xml:space="preserve">The </w:t>
      </w:r>
      <w:r>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Pr>
          <w:b w:val="0"/>
          <w:sz w:val="20"/>
        </w:rPr>
        <w:t>2319</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C10B7F" w:rsidRPr="00031B0A" w:rsidRDefault="00C10B7F" w:rsidP="00C10B7F">
      <w:pPr>
        <w:pStyle w:val="BodyText"/>
        <w:widowControl w:val="0"/>
        <w:numPr>
          <w:ilvl w:val="0"/>
          <w:numId w:val="46"/>
        </w:numPr>
        <w:spacing w:before="0"/>
        <w:ind w:left="810" w:hanging="450"/>
        <w:jc w:val="left"/>
        <w:rPr>
          <w:b w:val="0"/>
          <w:sz w:val="20"/>
        </w:rPr>
      </w:pPr>
      <w:r w:rsidRPr="00031B0A">
        <w:rPr>
          <w:b w:val="0"/>
          <w:sz w:val="20"/>
        </w:rPr>
        <w:t xml:space="preserve">The third party service for SP2 manages as per-TN VOICE URI field data in the NPAC on behalf of SP2.  For one example use case, </w:t>
      </w:r>
    </w:p>
    <w:p w:rsidR="00C10B7F" w:rsidRPr="00031B0A" w:rsidRDefault="00C10B7F" w:rsidP="00C10B7F">
      <w:pPr>
        <w:pStyle w:val="BodyText"/>
        <w:widowControl w:val="0"/>
        <w:numPr>
          <w:ilvl w:val="1"/>
          <w:numId w:val="46"/>
        </w:numPr>
        <w:spacing w:before="0"/>
        <w:ind w:left="1170"/>
        <w:jc w:val="left"/>
        <w:rPr>
          <w:b w:val="0"/>
          <w:sz w:val="20"/>
        </w:rPr>
      </w:pPr>
      <w:r w:rsidRPr="00031B0A">
        <w:rPr>
          <w:b w:val="0"/>
          <w:sz w:val="20"/>
        </w:rPr>
        <w:t>Third party service interprets row “5083322319</w:t>
      </w:r>
      <w:proofErr w:type="gramStart"/>
      <w:r w:rsidRPr="00031B0A">
        <w:rPr>
          <w:b w:val="0"/>
          <w:sz w:val="20"/>
        </w:rPr>
        <w:t>,sbc1.sp2.com,A</w:t>
      </w:r>
      <w:proofErr w:type="gramEnd"/>
      <w:r w:rsidRPr="00031B0A">
        <w:rPr>
          <w:b w:val="0"/>
          <w:sz w:val="20"/>
        </w:rPr>
        <w:t>” in a shared flat file and generates the associated NPAC provisioning actions.  For example,</w:t>
      </w:r>
    </w:p>
    <w:p w:rsidR="00C10B7F" w:rsidRPr="00031B0A" w:rsidRDefault="00C10B7F" w:rsidP="00C10B7F">
      <w:pPr>
        <w:pStyle w:val="BodyText"/>
        <w:widowControl w:val="0"/>
        <w:numPr>
          <w:ilvl w:val="2"/>
          <w:numId w:val="46"/>
        </w:numPr>
        <w:spacing w:before="0"/>
        <w:ind w:left="1440"/>
        <w:jc w:val="left"/>
        <w:rPr>
          <w:b w:val="0"/>
          <w:sz w:val="20"/>
        </w:rPr>
      </w:pPr>
      <w:r w:rsidRPr="00031B0A">
        <w:rPr>
          <w:b w:val="0"/>
          <w:sz w:val="20"/>
        </w:rPr>
        <w:t>Modify action is generated to add sip:5083322319@sbc1.sp2.com to the VOICE URI field for this existing SV record in the NPAC</w:t>
      </w:r>
    </w:p>
    <w:p w:rsidR="00C10B7F" w:rsidRDefault="00C10B7F" w:rsidP="00C10B7F">
      <w:pPr>
        <w:widowControl w:val="0"/>
        <w:numPr>
          <w:ilvl w:val="0"/>
          <w:numId w:val="46"/>
        </w:numPr>
        <w:spacing w:before="0" w:after="240"/>
        <w:ind w:left="810" w:hanging="450"/>
        <w:jc w:val="left"/>
        <w:rPr>
          <w:rFonts w:cs="Arial"/>
          <w:lang w:eastAsia="ja-JP"/>
        </w:rPr>
      </w:pPr>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 xml:space="preserve">SP2 </w:t>
      </w:r>
      <w:r w:rsidRPr="00FE564B">
        <w:rPr>
          <w:rFonts w:cs="Arial"/>
          <w:lang w:eastAsia="ja-JP"/>
        </w:rPr>
        <w:t>extract</w:t>
      </w:r>
      <w:r>
        <w:rPr>
          <w:rFonts w:cs="Arial"/>
          <w:lang w:eastAsia="ja-JP"/>
        </w:rPr>
        <w:t>s</w:t>
      </w:r>
      <w:r w:rsidRPr="00FE564B">
        <w:rPr>
          <w:rFonts w:cs="Arial"/>
          <w:lang w:eastAsia="ja-JP"/>
        </w:rPr>
        <w:t xml:space="preserve"> </w:t>
      </w:r>
      <w:r>
        <w:rPr>
          <w:rFonts w:cs="Arial"/>
          <w:lang w:eastAsia="ja-JP"/>
        </w:rPr>
        <w:t xml:space="preserve">per-TN VOICE URI field data from SP1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SP2. </w:t>
      </w:r>
    </w:p>
    <w:p w:rsidR="00C10B7F" w:rsidRDefault="00C10B7F" w:rsidP="00C10B7F">
      <w:pPr>
        <w:pStyle w:val="BodyText"/>
        <w:jc w:val="left"/>
        <w:rPr>
          <w:b w:val="0"/>
          <w:sz w:val="20"/>
        </w:rPr>
      </w:pPr>
      <w:r>
        <w:rPr>
          <w:b w:val="0"/>
          <w:sz w:val="20"/>
        </w:rPr>
        <w:t xml:space="preserve">This </w:t>
      </w:r>
      <w:r w:rsidR="00F478FF">
        <w:rPr>
          <w:b w:val="0"/>
          <w:sz w:val="20"/>
        </w:rPr>
        <w:t>sub-section</w:t>
      </w:r>
      <w:r>
        <w:rPr>
          <w:b w:val="0"/>
          <w:sz w:val="20"/>
        </w:rPr>
        <w:t xml:space="preserve"> expands on sections 5.1</w:t>
      </w:r>
      <w:r w:rsidR="00F478FF">
        <w:rPr>
          <w:b w:val="0"/>
          <w:sz w:val="20"/>
        </w:rPr>
        <w:t>.1</w:t>
      </w:r>
      <w:r>
        <w:rPr>
          <w:b w:val="0"/>
          <w:sz w:val="20"/>
        </w:rPr>
        <w:t xml:space="preserve"> </w:t>
      </w:r>
      <w:r w:rsidR="00F478FF">
        <w:rPr>
          <w:b w:val="0"/>
          <w:sz w:val="20"/>
        </w:rPr>
        <w:t xml:space="preserve">(above) </w:t>
      </w:r>
      <w:r>
        <w:rPr>
          <w:b w:val="0"/>
          <w:sz w:val="20"/>
        </w:rPr>
        <w:t>and 5.2</w:t>
      </w:r>
      <w:r w:rsidR="00F478FF">
        <w:rPr>
          <w:b w:val="0"/>
          <w:sz w:val="20"/>
        </w:rPr>
        <w:t>.1 (to be discussed in the next section)</w:t>
      </w:r>
      <w:r>
        <w:rPr>
          <w:b w:val="0"/>
          <w:sz w:val="20"/>
        </w:rPr>
        <w:t xml:space="preserve"> where the NPAC is proposed for supporting per-TN routing. Specifically, it </w:t>
      </w:r>
      <w:r w:rsidRPr="000978AD">
        <w:rPr>
          <w:b w:val="0"/>
          <w:sz w:val="20"/>
        </w:rPr>
        <w:t xml:space="preserve">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SOA and/or LSMS may not yet be compliant with the previously approved NANC change orders that are required. The </w:t>
      </w:r>
      <w:r w:rsidR="00F478FF">
        <w:rPr>
          <w:b w:val="0"/>
          <w:sz w:val="20"/>
        </w:rPr>
        <w:t>provisioning approach</w:t>
      </w:r>
      <w:r>
        <w:rPr>
          <w:b w:val="0"/>
          <w:sz w:val="20"/>
        </w:rPr>
        <w:t xml:space="preserve"> is transparent to </w:t>
      </w:r>
      <w:r w:rsidRPr="00FC6B53">
        <w:rPr>
          <w:b w:val="0"/>
          <w:sz w:val="20"/>
        </w:rPr>
        <w:t xml:space="preserve">service providers </w:t>
      </w:r>
      <w:r>
        <w:rPr>
          <w:b w:val="0"/>
          <w:sz w:val="20"/>
        </w:rPr>
        <w:t>who have compliant SOA and LSMS.</w:t>
      </w:r>
      <w:r>
        <w:rPr>
          <w:rFonts w:ascii="Cambria" w:hAnsi="Cambria"/>
          <w:bCs/>
        </w:rPr>
        <w:t xml:space="preserve">  </w:t>
      </w:r>
      <w:r w:rsidRPr="00FC6B53">
        <w:rPr>
          <w:b w:val="0"/>
          <w:sz w:val="20"/>
        </w:rPr>
        <w:t xml:space="preserve">For service providers </w:t>
      </w:r>
      <w:r>
        <w:rPr>
          <w:b w:val="0"/>
          <w:sz w:val="20"/>
        </w:rPr>
        <w:t>who 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Pr>
          <w:b w:val="0"/>
          <w:sz w:val="20"/>
        </w:rPr>
        <w:t xml:space="preserve"> and </w:t>
      </w:r>
      <w:r w:rsidRPr="00FC6B53">
        <w:rPr>
          <w:b w:val="0"/>
          <w:sz w:val="20"/>
        </w:rPr>
        <w:t xml:space="preserve">provisioned </w:t>
      </w:r>
      <w:r>
        <w:rPr>
          <w:b w:val="0"/>
          <w:sz w:val="20"/>
        </w:rPr>
        <w:t xml:space="preserve">(on their behalf) into the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 xml:space="preserve"> with a compliant LSMS or distributed through an established third party over a pre-configured interface.</w:t>
      </w:r>
    </w:p>
    <w:p w:rsidR="005816BC" w:rsidRPr="005816BC" w:rsidRDefault="005816BC" w:rsidP="005816BC">
      <w:pPr>
        <w:pStyle w:val="Heading3"/>
        <w:ind w:left="810"/>
        <w:jc w:val="left"/>
        <w:rPr>
          <w:rStyle w:val="Heading3Char2"/>
          <w:bCs/>
          <w:iCs/>
        </w:rPr>
      </w:pPr>
      <w:bookmarkStart w:id="74" w:name="_Toc398748853"/>
      <w:r w:rsidRPr="005816BC">
        <w:rPr>
          <w:rStyle w:val="Heading3Char2"/>
          <w:bCs/>
          <w:iCs/>
        </w:rPr>
        <w:t>Call Flow</w:t>
      </w:r>
      <w:bookmarkEnd w:id="74"/>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3548D6">
        <w:t>9</w:t>
      </w:r>
      <w:r w:rsidR="00422B43">
        <w:t xml:space="preserve"> </w:t>
      </w:r>
      <w:r>
        <w:t>below:</w:t>
      </w:r>
    </w:p>
    <w:p w:rsidR="00CC6172" w:rsidRDefault="00CC6172" w:rsidP="00CC6172">
      <w:pPr>
        <w:textAlignment w:val="center"/>
      </w:pPr>
      <w:r>
        <w:rPr>
          <w:noProof/>
        </w:rPr>
        <w:lastRenderedPageBreak/>
        <w:drawing>
          <wp:inline distT="0" distB="0" distL="0" distR="0" wp14:anchorId="03595197" wp14:editId="149BB712">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548D6" w:rsidRDefault="003548D6" w:rsidP="005D1D40">
      <w:pPr>
        <w:pStyle w:val="Caption"/>
        <w:keepNext/>
      </w:pPr>
    </w:p>
    <w:p w:rsidR="004C4F9B" w:rsidRDefault="003548D6" w:rsidP="003548D6">
      <w:pPr>
        <w:pStyle w:val="Caption"/>
      </w:pPr>
      <w:r>
        <w:t xml:space="preserve">Figure </w:t>
      </w:r>
      <w:r>
        <w:fldChar w:fldCharType="begin"/>
      </w:r>
      <w:r>
        <w:instrText xml:space="preserve"> SEQ Figure \* ARABIC </w:instrText>
      </w:r>
      <w:r>
        <w:fldChar w:fldCharType="separate"/>
      </w:r>
      <w:r w:rsidR="00305131">
        <w:rPr>
          <w:noProof/>
        </w:rPr>
        <w:t>9</w:t>
      </w:r>
      <w:r>
        <w:fldChar w:fldCharType="end"/>
      </w:r>
      <w:r>
        <w:t xml:space="preserve"> – Call Flow -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75" w:name="_Toc398748854"/>
      <w:r>
        <w:t xml:space="preserve">The </w:t>
      </w:r>
      <w:r w:rsidR="001D5A67" w:rsidRPr="001D5A67">
        <w:t xml:space="preserve">NPAC as </w:t>
      </w:r>
      <w:r>
        <w:t xml:space="preserve">a Tier 1 </w:t>
      </w:r>
      <w:r w:rsidR="001D5A67" w:rsidRPr="001D5A67">
        <w:t>ENUM Registry</w:t>
      </w:r>
      <w:bookmarkEnd w:id="75"/>
      <w:r w:rsidR="001D5A67" w:rsidRPr="001D5A67">
        <w:t xml:space="preserve"> </w:t>
      </w:r>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76" w:name="_Toc398748855"/>
      <w:r w:rsidRPr="005816BC">
        <w:rPr>
          <w:rStyle w:val="Heading3Char2"/>
          <w:bCs/>
          <w:iCs/>
        </w:rPr>
        <w:t>Call Flow</w:t>
      </w:r>
      <w:bookmarkEnd w:id="76"/>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34CADD45" wp14:editId="65976E9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77" w:name="_Toc398749494"/>
      <w:r>
        <w:t xml:space="preserve">Figure </w:t>
      </w:r>
      <w:r w:rsidR="00652007">
        <w:fldChar w:fldCharType="begin"/>
      </w:r>
      <w:r w:rsidR="00652007">
        <w:instrText xml:space="preserve"> SEQ Figure \* ARABIC </w:instrText>
      </w:r>
      <w:r w:rsidR="00652007">
        <w:fldChar w:fldCharType="separate"/>
      </w:r>
      <w:r w:rsidR="00305131">
        <w:rPr>
          <w:noProof/>
        </w:rPr>
        <w:t>10</w:t>
      </w:r>
      <w:r w:rsidR="00652007">
        <w:rPr>
          <w:noProof/>
        </w:rPr>
        <w:fldChar w:fldCharType="end"/>
      </w:r>
      <w:r>
        <w:t xml:space="preserve"> – Call Flow </w:t>
      </w:r>
      <w:r w:rsidR="003706D0">
        <w:t xml:space="preserve">–NPAC as </w:t>
      </w:r>
      <w:proofErr w:type="spellStart"/>
      <w:r w:rsidR="003706D0">
        <w:t>a</w:t>
      </w:r>
      <w:r>
        <w:t>Tier</w:t>
      </w:r>
      <w:proofErr w:type="spellEnd"/>
      <w:r>
        <w:t xml:space="preserve"> 1 </w:t>
      </w:r>
      <w:r w:rsidR="003706D0">
        <w:t>ENUM Registry</w:t>
      </w:r>
      <w:bookmarkEnd w:id="77"/>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78" w:name="_Toc398748856"/>
      <w:r w:rsidRPr="005816BC">
        <w:rPr>
          <w:rStyle w:val="Heading3Char2"/>
          <w:bCs/>
          <w:iCs/>
        </w:rPr>
        <w:lastRenderedPageBreak/>
        <w:t>Provisioning</w:t>
      </w:r>
      <w:bookmarkEnd w:id="78"/>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7D7A7E7A" wp14:editId="5F53168A">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79" w:name="_Toc398749495"/>
      <w:r>
        <w:t xml:space="preserve">Figure </w:t>
      </w:r>
      <w:r w:rsidR="00652007">
        <w:fldChar w:fldCharType="begin"/>
      </w:r>
      <w:r w:rsidR="00652007">
        <w:instrText xml:space="preserve"> SEQ Figure \* ARABIC </w:instrText>
      </w:r>
      <w:r w:rsidR="00652007">
        <w:fldChar w:fldCharType="separate"/>
      </w:r>
      <w:r w:rsidR="00305131">
        <w:rPr>
          <w:noProof/>
        </w:rPr>
        <w:t>11</w:t>
      </w:r>
      <w:r w:rsidR="00652007">
        <w:rPr>
          <w:noProof/>
        </w:rPr>
        <w:fldChar w:fldCharType="end"/>
      </w:r>
      <w:r>
        <w:t xml:space="preserve"> – Provisioning –NPAC</w:t>
      </w:r>
      <w:r w:rsidR="003706D0">
        <w:t xml:space="preserve"> as a Tier 1 ENUM Registry</w:t>
      </w:r>
      <w:bookmarkEnd w:id="79"/>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BA635B" w:rsidRPr="00BA635B" w:rsidRDefault="00BA635B" w:rsidP="00BA635B">
      <w:pPr>
        <w:spacing w:before="0" w:after="240"/>
      </w:pPr>
      <w:r w:rsidRPr="00BA635B">
        <w:rPr>
          <w:rFonts w:cs="Arial"/>
          <w:lang w:eastAsia="ja-JP"/>
        </w:rPr>
        <w:t xml:space="preserve">Please note that the provisioning approach previously described in Section 5.1.1.1 can also support the proposed solution above where the NPAC is used as a Tier </w:t>
      </w:r>
      <w:proofErr w:type="gramStart"/>
      <w:r w:rsidRPr="00BA635B">
        <w:rPr>
          <w:rFonts w:cs="Arial"/>
          <w:lang w:eastAsia="ja-JP"/>
        </w:rPr>
        <w:t>1  ENUM</w:t>
      </w:r>
      <w:proofErr w:type="gramEnd"/>
      <w:r w:rsidRPr="00BA635B">
        <w:rPr>
          <w:rFonts w:cs="Arial"/>
          <w:lang w:eastAsia="ja-JP"/>
        </w:rPr>
        <w:t xml:space="preserve"> Registry.  Specifically, any authorized service provider where their existing SOA and/or LSMS do not yet support the previously approved NANC change orders that are required 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w:t>
      </w:r>
      <w:r>
        <w:rPr>
          <w:rFonts w:cs="Arial"/>
          <w:lang w:eastAsia="ja-JP"/>
        </w:rPr>
        <w:t>ver a pre-configured interface.</w:t>
      </w:r>
    </w:p>
    <w:p w:rsidR="00BA635B" w:rsidRPr="00FE564B" w:rsidRDefault="00BA635B" w:rsidP="00BA635B">
      <w:pPr>
        <w:widowControl w:val="0"/>
        <w:spacing w:before="0" w:after="240"/>
        <w:jc w:val="left"/>
        <w:rPr>
          <w:rFonts w:cs="Arial"/>
          <w:lang w:eastAsia="ja-JP"/>
        </w:rPr>
      </w:pPr>
    </w:p>
    <w:p w:rsidR="00611A57" w:rsidRPr="005816BC" w:rsidRDefault="00611A57" w:rsidP="005816BC">
      <w:pPr>
        <w:pStyle w:val="Heading3"/>
        <w:ind w:left="810"/>
        <w:jc w:val="left"/>
        <w:rPr>
          <w:rStyle w:val="Heading3Char2"/>
          <w:bCs/>
          <w:iCs/>
        </w:rPr>
      </w:pPr>
      <w:bookmarkStart w:id="80" w:name="_Toc398748857"/>
      <w:r w:rsidRPr="005816BC">
        <w:rPr>
          <w:rStyle w:val="Heading3Char2"/>
          <w:bCs/>
          <w:iCs/>
        </w:rPr>
        <w:t>SUMMARY</w:t>
      </w:r>
      <w:bookmarkEnd w:id="80"/>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w:t>
      </w:r>
      <w:r w:rsidRPr="00FE564B">
        <w:rPr>
          <w:rFonts w:cs="Arial"/>
          <w:lang w:eastAsia="ja-JP"/>
        </w:rPr>
        <w:lastRenderedPageBreak/>
        <w:t xml:space="preserve">LRN is created). This approach simply enhances the existing interfaces (direct or via service bureaus) that all SPs have with the NPAC, requiring no new governance structures.  </w:t>
      </w:r>
    </w:p>
    <w:p w:rsidR="00611A57" w:rsidRPr="00BC2445" w:rsidRDefault="00611A57" w:rsidP="00611A57"/>
    <w:p w:rsidR="006A4A51" w:rsidRPr="006A4A51" w:rsidRDefault="006A4A51" w:rsidP="006A4A51"/>
    <w:p w:rsidR="000D0858" w:rsidRDefault="00F462AD" w:rsidP="005816BC">
      <w:pPr>
        <w:pStyle w:val="Heading2"/>
      </w:pPr>
      <w:bookmarkStart w:id="81" w:name="_Toc395175448"/>
      <w:bookmarkStart w:id="82" w:name="_Toc395175713"/>
      <w:bookmarkStart w:id="83" w:name="_Toc395175795"/>
      <w:bookmarkStart w:id="84" w:name="_Toc395179092"/>
      <w:bookmarkStart w:id="85" w:name="_Toc395175449"/>
      <w:bookmarkStart w:id="86" w:name="_Toc395175714"/>
      <w:bookmarkStart w:id="87" w:name="_Toc395175796"/>
      <w:bookmarkStart w:id="88" w:name="_Toc395179093"/>
      <w:bookmarkStart w:id="89" w:name="_Toc398748862"/>
      <w:bookmarkEnd w:id="81"/>
      <w:bookmarkEnd w:id="82"/>
      <w:bookmarkEnd w:id="83"/>
      <w:bookmarkEnd w:id="84"/>
      <w:bookmarkEnd w:id="85"/>
      <w:bookmarkEnd w:id="86"/>
      <w:bookmarkEnd w:id="87"/>
      <w:bookmarkEnd w:id="88"/>
      <w:r>
        <w:t>Independent ENUM Registry</w:t>
      </w:r>
      <w:bookmarkEnd w:id="89"/>
    </w:p>
    <w:p w:rsidR="00E84557" w:rsidRDefault="00E84557" w:rsidP="00E84557">
      <w:r>
        <w:t>This section describes an independent ENUM Registry, for the exchange of data for IP routing and interconnection for routing of E.164 Addressed Communications over IP Network-to-Network Interconnection (NNI).  See IPNNI-2014-043R1.</w:t>
      </w:r>
    </w:p>
    <w:p w:rsidR="00E84557" w:rsidRDefault="00E84557" w:rsidP="00E84557">
      <w:pPr>
        <w:rPr>
          <w:szCs w:val="24"/>
        </w:rPr>
      </w:pPr>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w:t>
      </w:r>
      <w:r>
        <w:lastRenderedPageBreak/>
        <w:t xml:space="preserve">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p>
    <w:p w:rsidR="00E84557" w:rsidRPr="00405743" w:rsidRDefault="00E84557" w:rsidP="00E84557">
      <w:pPr>
        <w:rPr>
          <w:rStyle w:val="Heading3Char2"/>
          <w:bCs/>
        </w:rPr>
      </w:pPr>
    </w:p>
    <w:p w:rsidR="00E84557" w:rsidRPr="00830F0D" w:rsidRDefault="003706D0" w:rsidP="00E84557">
      <w:pPr>
        <w:pStyle w:val="Heading3"/>
        <w:ind w:left="810"/>
        <w:jc w:val="left"/>
        <w:rPr>
          <w:rStyle w:val="Heading3Char2"/>
          <w:b/>
          <w:bCs/>
        </w:rPr>
      </w:pPr>
      <w:bookmarkStart w:id="90" w:name="_Toc398748863"/>
      <w:r>
        <w:rPr>
          <w:rStyle w:val="Heading3Char2"/>
          <w:b/>
          <w:bCs/>
        </w:rPr>
        <w:t>Call</w:t>
      </w:r>
      <w:r w:rsidRPr="00011892">
        <w:rPr>
          <w:rStyle w:val="Heading3Char2"/>
          <w:b/>
          <w:bCs/>
        </w:rPr>
        <w:t xml:space="preserve"> </w:t>
      </w:r>
      <w:r w:rsidR="00E84557" w:rsidRPr="00011892">
        <w:rPr>
          <w:rStyle w:val="Heading3Char2"/>
          <w:b/>
          <w:bCs/>
        </w:rPr>
        <w:t>F</w:t>
      </w:r>
      <w:r w:rsidR="00E84557" w:rsidRPr="00830F0D">
        <w:rPr>
          <w:rStyle w:val="Heading3Char2"/>
          <w:b/>
          <w:bCs/>
        </w:rPr>
        <w:t>low</w:t>
      </w:r>
      <w:bookmarkEnd w:id="90"/>
    </w:p>
    <w:p w:rsidR="00E84557" w:rsidRDefault="00E84557" w:rsidP="00E84557">
      <w:pPr>
        <w:rPr>
          <w:rFonts w:ascii="Times New Roman" w:hAnsi="Times New Roman"/>
        </w:rPr>
      </w:pPr>
      <w:r>
        <w:t xml:space="preserve">A session set-up is shown in Figure </w:t>
      </w:r>
      <w:r w:rsidR="00870498">
        <w:t xml:space="preserve">12 </w:t>
      </w:r>
      <w:r>
        <w:t>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11948EAB" wp14:editId="0B31E421">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5B2A57" w:rsidRDefault="005B2A57" w:rsidP="005D1D40">
      <w:pPr>
        <w:pStyle w:val="Caption"/>
        <w:keepNext/>
      </w:pPr>
    </w:p>
    <w:p w:rsidR="0075694C" w:rsidRDefault="005B2A57" w:rsidP="005B2A57">
      <w:pPr>
        <w:pStyle w:val="Caption"/>
      </w:pPr>
      <w:bookmarkStart w:id="91" w:name="_Toc398749496"/>
      <w:r>
        <w:t xml:space="preserve">Figure </w:t>
      </w:r>
      <w:r>
        <w:fldChar w:fldCharType="begin"/>
      </w:r>
      <w:r>
        <w:instrText xml:space="preserve"> SEQ Figure \* ARABIC </w:instrText>
      </w:r>
      <w:r>
        <w:fldChar w:fldCharType="separate"/>
      </w:r>
      <w:r>
        <w:rPr>
          <w:noProof/>
        </w:rPr>
        <w:t>12</w:t>
      </w:r>
      <w:r>
        <w:fldChar w:fldCharType="end"/>
      </w:r>
      <w:r>
        <w:t xml:space="preserve"> –Call Flow - Independent ENUM Registry</w:t>
      </w:r>
      <w:bookmarkEnd w:id="91"/>
    </w:p>
    <w:p w:rsidR="00E84557" w:rsidRDefault="00E84557" w:rsidP="00E84557">
      <w:r>
        <w:t xml:space="preserve">In Figure </w:t>
      </w:r>
      <w:r w:rsidR="00870498">
        <w:t>12</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The DNS resolution of the Tier 2 Name Server is via normal DNS since each service provider provisions the resolution of their Tier 2 Name Server domain names into DNS.</w:t>
      </w:r>
    </w:p>
    <w:p w:rsidR="00E84557" w:rsidRDefault="00E84557" w:rsidP="00E84557">
      <w:r>
        <w:t xml:space="preserve">The terminating network’s Tier 2 Name Server returns specific routing information identifying the I-SBC in the form of one or more Naming Authority Pointer (NAPTR) records (6).  The originating service provider resolves the </w:t>
      </w:r>
      <w:r>
        <w:lastRenderedPageBreak/>
        <w:t>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t xml:space="preserve">the </w:t>
      </w:r>
      <w:proofErr w:type="gramStart"/>
      <w:r w:rsidR="00D30AF0">
        <w:t xml:space="preserve">Figure </w:t>
      </w:r>
      <w:r>
        <w:t xml:space="preserve"> below</w:t>
      </w:r>
      <w:proofErr w:type="gramEnd"/>
      <w:r>
        <w:t xml:space="preserve">.  From an originating service provider perspective, there are at most 2 additional ENUM query messages to accompany the 3 or 4 SIP set up messages, meaning the originating CSCF, and likely their I-SBC, must process 50% more messaging in an ENUM architecture.  </w:t>
      </w:r>
    </w:p>
    <w:p w:rsidR="00E84557" w:rsidRPr="00011892" w:rsidRDefault="00E84557" w:rsidP="00E84557">
      <w:pPr>
        <w:pStyle w:val="Heading3"/>
        <w:spacing w:before="240" w:after="120"/>
        <w:ind w:left="810"/>
        <w:jc w:val="left"/>
        <w:rPr>
          <w:rStyle w:val="Heading3Char2"/>
          <w:b/>
          <w:bCs/>
        </w:rPr>
      </w:pPr>
      <w:bookmarkStart w:id="92" w:name="_Toc398748864"/>
      <w:r w:rsidRPr="00011892">
        <w:rPr>
          <w:rStyle w:val="Heading3Char2"/>
          <w:b/>
          <w:bCs/>
        </w:rPr>
        <w:t>Provisioning Flow</w:t>
      </w:r>
      <w:bookmarkEnd w:id="92"/>
    </w:p>
    <w:p w:rsidR="00E84557" w:rsidRDefault="00E84557" w:rsidP="00E84557">
      <w:pPr>
        <w:rPr>
          <w:rFonts w:ascii="Times New Roman" w:hAnsi="Times New Roman"/>
        </w:rPr>
      </w:pPr>
      <w:r>
        <w:t xml:space="preserve">A high level provisioning reference architecture is shown in Figure </w:t>
      </w:r>
      <w:r w:rsidR="00D30AF0">
        <w:t xml:space="preserve">13 </w:t>
      </w:r>
      <w:r>
        <w:t>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p>
    <w:p w:rsidR="00E84557" w:rsidRDefault="00B930EF" w:rsidP="00E84557">
      <w:pPr>
        <w:pStyle w:val="TTBulletL1"/>
      </w:pPr>
      <w:r w:rsidRPr="00B930EF">
        <w:rPr>
          <w:noProof/>
        </w:rPr>
        <w:drawing>
          <wp:inline distT="0" distB="0" distL="0" distR="0" wp14:anchorId="14098DB3" wp14:editId="4D8DB8F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10280"/>
                    </a:xfrm>
                    <a:prstGeom prst="rect">
                      <a:avLst/>
                    </a:prstGeom>
                  </pic:spPr>
                </pic:pic>
              </a:graphicData>
            </a:graphic>
          </wp:inline>
        </w:drawing>
      </w:r>
    </w:p>
    <w:p w:rsidR="005B2A57" w:rsidRDefault="005B2A57" w:rsidP="005D1D40">
      <w:pPr>
        <w:pStyle w:val="Caption"/>
        <w:keepNext/>
      </w:pPr>
    </w:p>
    <w:p w:rsidR="0075694C" w:rsidRDefault="005B2A57" w:rsidP="005B2A57">
      <w:pPr>
        <w:pStyle w:val="Caption"/>
      </w:pPr>
      <w:bookmarkStart w:id="93" w:name="_Toc398749497"/>
      <w:r>
        <w:t xml:space="preserve">Figure </w:t>
      </w:r>
      <w:r>
        <w:fldChar w:fldCharType="begin"/>
      </w:r>
      <w:r>
        <w:instrText xml:space="preserve"> SEQ Figure \* ARABIC </w:instrText>
      </w:r>
      <w:r>
        <w:fldChar w:fldCharType="separate"/>
      </w:r>
      <w:r>
        <w:rPr>
          <w:noProof/>
        </w:rPr>
        <w:t>13</w:t>
      </w:r>
      <w:r>
        <w:fldChar w:fldCharType="end"/>
      </w:r>
      <w:r>
        <w:t xml:space="preserve"> – Provisioning - Independent ENUM Registry</w:t>
      </w:r>
      <w:bookmarkEnd w:id="93"/>
    </w:p>
    <w:p w:rsidR="00E84557" w:rsidRDefault="00E84557" w:rsidP="00E84557">
      <w:r>
        <w:t xml:space="preserve">As depicted in Figure </w:t>
      </w:r>
      <w:r w:rsidR="00D30AF0">
        <w:t>13</w:t>
      </w:r>
      <w:r>
        <w:t xml:space="preserve">, the ENUM Tier 0/1 Registry can obtain data from all authorized Service Providers to enable routing data exchange for a functional IP Network to Network Interconnection service.  A Managed Shared </w:t>
      </w:r>
      <w:r>
        <w:lastRenderedPageBreak/>
        <w:t>Registration System (SRS) Service allows authorized Service Providers of Record to create, change, and/or modify ENUM domain name registrations in the Tier 0/1 Registry Database (1 and 1A).</w:t>
      </w:r>
    </w:p>
    <w:p w:rsidR="00E84557" w:rsidRDefault="00E84557" w:rsidP="00E84557">
      <w:r>
        <w:t>The Managed SRS Service also validates registrations through the Validation Application 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94" w:name="_Toc398748865"/>
      <w:r w:rsidRPr="00011892">
        <w:rPr>
          <w:rStyle w:val="Heading3Char2"/>
          <w:b/>
          <w:bCs/>
        </w:rPr>
        <w:t>Summary</w:t>
      </w:r>
      <w:bookmarkEnd w:id="94"/>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95" w:name="_Toc398748866"/>
      <w:r>
        <w:t>Per-TN implementation – without the use of shared industry infrastructure</w:t>
      </w:r>
      <w:bookmarkEnd w:id="95"/>
    </w:p>
    <w:p w:rsidR="00E84557" w:rsidRDefault="00E84557" w:rsidP="00E84557">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96" w:name="_Toc398748867"/>
      <w:r w:rsidRPr="00011892">
        <w:rPr>
          <w:rStyle w:val="Heading3Char2"/>
          <w:b/>
          <w:bCs/>
        </w:rPr>
        <w:t>Implementation</w:t>
      </w:r>
      <w:bookmarkEnd w:id="96"/>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w:t>
      </w:r>
      <w:r w:rsidR="00D30AF0">
        <w:t>14</w:t>
      </w:r>
      <w:r>
        <w:t xml:space="preserve">,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97" w:name="_Toc398748868"/>
      <w:r w:rsidRPr="00011892">
        <w:rPr>
          <w:rStyle w:val="Heading3Char2"/>
          <w:b/>
          <w:bCs/>
        </w:rPr>
        <w:t>Provisioning</w:t>
      </w:r>
      <w:bookmarkEnd w:id="97"/>
    </w:p>
    <w:p w:rsidR="00E84557" w:rsidRPr="00FE564B" w:rsidRDefault="00E84557" w:rsidP="00E84557">
      <w:pPr>
        <w:pStyle w:val="BodyText"/>
        <w:jc w:val="left"/>
        <w:rPr>
          <w:b w:val="0"/>
          <w:sz w:val="20"/>
        </w:rPr>
      </w:pPr>
      <w:r w:rsidRPr="00FE564B">
        <w:rPr>
          <w:b w:val="0"/>
          <w:sz w:val="20"/>
        </w:rPr>
        <w:t xml:space="preserve">A Provisioning diagram is shown below in Figure </w:t>
      </w:r>
      <w:r w:rsidR="00D30AF0">
        <w:rPr>
          <w:b w:val="0"/>
          <w:sz w:val="20"/>
        </w:rPr>
        <w:t>14</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lastRenderedPageBreak/>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8"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r>
        <w:rPr>
          <w:noProof/>
        </w:rPr>
        <w:drawing>
          <wp:inline distT="0" distB="0" distL="0" distR="0" wp14:anchorId="50FE74C9" wp14:editId="4CD329AC">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p>
    <w:p w:rsidR="00E84557" w:rsidRDefault="00E84557" w:rsidP="00E84557">
      <w:pPr>
        <w:pStyle w:val="BodyText"/>
      </w:pPr>
      <w:r>
        <w:rPr>
          <w:noProof/>
        </w:rPr>
        <w:t xml:space="preserve"> </w:t>
      </w:r>
    </w:p>
    <w:p w:rsidR="005B2A57" w:rsidRDefault="005B2A57" w:rsidP="005D1D40">
      <w:pPr>
        <w:pStyle w:val="Caption"/>
        <w:keepNext/>
      </w:pPr>
    </w:p>
    <w:p w:rsidR="0075694C" w:rsidRDefault="005B2A57" w:rsidP="005B2A57">
      <w:pPr>
        <w:pStyle w:val="Caption"/>
      </w:pPr>
      <w:bookmarkStart w:id="98" w:name="_Toc398749498"/>
      <w:r>
        <w:t xml:space="preserve">Figure </w:t>
      </w:r>
      <w:r>
        <w:fldChar w:fldCharType="begin"/>
      </w:r>
      <w:r>
        <w:instrText xml:space="preserve"> SEQ Figure \* ARABIC </w:instrText>
      </w:r>
      <w:r>
        <w:fldChar w:fldCharType="separate"/>
      </w:r>
      <w:r>
        <w:rPr>
          <w:noProof/>
        </w:rPr>
        <w:t>14</w:t>
      </w:r>
      <w:r>
        <w:fldChar w:fldCharType="end"/>
      </w:r>
      <w:r>
        <w:t xml:space="preserve"> – Provisioning</w:t>
      </w:r>
      <w:proofErr w:type="gramStart"/>
      <w:r>
        <w:t xml:space="preserve">-  </w:t>
      </w:r>
      <w:r w:rsidDel="003706D0">
        <w:t>per</w:t>
      </w:r>
      <w:proofErr w:type="gramEnd"/>
      <w:r w:rsidDel="003706D0">
        <w:t xml:space="preserve"> TN </w:t>
      </w:r>
      <w:r>
        <w:t>without the use of shared industry Infrastructure</w:t>
      </w:r>
      <w:bookmarkEnd w:id="98"/>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99" w:name="_Toc398748869"/>
      <w:r w:rsidRPr="005816BC">
        <w:rPr>
          <w:rStyle w:val="Heading3Char2"/>
          <w:b/>
        </w:rPr>
        <w:t>Call Flow</w:t>
      </w:r>
      <w:bookmarkEnd w:id="99"/>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w:t>
      </w:r>
      <w:r w:rsidR="00D30AF0">
        <w:rPr>
          <w:b w:val="0"/>
          <w:sz w:val="20"/>
        </w:rPr>
        <w:t>15</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w:t>
      </w:r>
      <w:r w:rsidRPr="000978AD">
        <w:rPr>
          <w:b w:val="0"/>
          <w:sz w:val="20"/>
        </w:rPr>
        <w:lastRenderedPageBreak/>
        <w:t xml:space="preserve">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5BF27F7A" wp14:editId="01115CE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5B2A57" w:rsidRDefault="005B2A57" w:rsidP="005D1D40">
      <w:pPr>
        <w:pStyle w:val="Caption"/>
        <w:keepNext/>
      </w:pPr>
    </w:p>
    <w:p w:rsidR="00E84557" w:rsidRDefault="005B2A57" w:rsidP="005B2A57">
      <w:pPr>
        <w:pStyle w:val="Caption"/>
      </w:pPr>
      <w:bookmarkStart w:id="100" w:name="_Toc398749499"/>
      <w:r>
        <w:t xml:space="preserve">Figure </w:t>
      </w:r>
      <w:r>
        <w:fldChar w:fldCharType="begin"/>
      </w:r>
      <w:r>
        <w:instrText xml:space="preserve"> SEQ Figure \* ARABIC </w:instrText>
      </w:r>
      <w:r>
        <w:fldChar w:fldCharType="separate"/>
      </w:r>
      <w:r>
        <w:rPr>
          <w:noProof/>
        </w:rPr>
        <w:t>15</w:t>
      </w:r>
      <w:r>
        <w:fldChar w:fldCharType="end"/>
      </w:r>
      <w:r>
        <w:t xml:space="preserve"> – Call Flow - without the use of shared industry infrastructure</w:t>
      </w:r>
      <w:bookmarkEnd w:id="100"/>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101" w:name="_Toc398748870"/>
      <w:r w:rsidRPr="00B00EEA">
        <w:t xml:space="preserve">Per-TN Routing Implementation </w:t>
      </w:r>
      <w:r>
        <w:t xml:space="preserve">- </w:t>
      </w:r>
      <w:r w:rsidRPr="006E3777">
        <w:t>Query</w:t>
      </w:r>
      <w:r w:rsidRPr="00B00EEA">
        <w:t xml:space="preserve"> </w:t>
      </w:r>
      <w:r>
        <w:t>Using Independent Service Bureaus</w:t>
      </w:r>
      <w:bookmarkEnd w:id="101"/>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t xml:space="preserve">Three approaches allowing </w:t>
      </w:r>
      <w:r>
        <w:rPr>
          <w:rFonts w:cs="Arial"/>
        </w:rPr>
        <w:t xml:space="preserve">SPs to implement a per-TN solution independently and in cooperation with like-minded SPs by “sharing copies of their per-TN database” is described in Section 5.5. This Section describes three </w:t>
      </w:r>
      <w:r>
        <w:rPr>
          <w:rFonts w:cs="Arial"/>
        </w:rPr>
        <w:lastRenderedPageBreak/>
        <w:t xml:space="preserve">additional per-TN approaches - with similar benefits - 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102" w:name="_Toc398748871"/>
      <w:r w:rsidRPr="00B00EEA">
        <w:rPr>
          <w:rStyle w:val="Heading3Char2"/>
        </w:rPr>
        <w:t>Implementation</w:t>
      </w:r>
      <w:bookmarkEnd w:id="102"/>
    </w:p>
    <w:p w:rsidR="008903EF" w:rsidRDefault="008903EF" w:rsidP="008903EF">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Default="008903EF" w:rsidP="008903EF">
      <w:r>
        <w:t xml:space="preserve">Referring to Figure </w:t>
      </w:r>
      <w:r w:rsidR="00D30AF0">
        <w:t>16</w:t>
      </w:r>
      <w:r>
        <w:t>, each set of arrows lettered A thru C (and color coded) represent three possible per-TN implementations. (The black arrows represent the manual 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zone transfer service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drawing>
          <wp:inline distT="0" distB="0" distL="0" distR="0" wp14:anchorId="12263E93" wp14:editId="603B3E68">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423958" cy="2189740"/>
                    </a:xfrm>
                    <a:prstGeom prst="rect">
                      <a:avLst/>
                    </a:prstGeom>
                    <a:noFill/>
                  </pic:spPr>
                </pic:pic>
              </a:graphicData>
            </a:graphic>
          </wp:inline>
        </w:drawing>
      </w:r>
    </w:p>
    <w:p w:rsidR="005B2A57" w:rsidRDefault="005B2A57" w:rsidP="005D1D40">
      <w:pPr>
        <w:pStyle w:val="Caption"/>
        <w:keepNext/>
      </w:pPr>
    </w:p>
    <w:p w:rsidR="006B0146" w:rsidRDefault="005B2A57" w:rsidP="005B2A57">
      <w:pPr>
        <w:pStyle w:val="Caption"/>
      </w:pPr>
      <w:bookmarkStart w:id="103" w:name="_Toc398749500"/>
      <w:r>
        <w:t xml:space="preserve">Figure </w:t>
      </w:r>
      <w:r>
        <w:fldChar w:fldCharType="begin"/>
      </w:r>
      <w:r>
        <w:instrText xml:space="preserve"> SEQ Figure \* ARABIC </w:instrText>
      </w:r>
      <w:r>
        <w:fldChar w:fldCharType="separate"/>
      </w:r>
      <w:r>
        <w:rPr>
          <w:noProof/>
        </w:rPr>
        <w:t>16</w:t>
      </w:r>
      <w:r>
        <w:fldChar w:fldCharType="end"/>
      </w:r>
      <w:r>
        <w:t xml:space="preserve"> </w:t>
      </w:r>
      <w:r w:rsidDel="003706D0">
        <w:t>-</w:t>
      </w:r>
      <w:r>
        <w:t xml:space="preserve">– </w:t>
      </w:r>
      <w:r w:rsidDel="003706D0">
        <w:t>Implementation Alternatives</w:t>
      </w:r>
      <w:r>
        <w:t xml:space="preserve"> Reference Architecture</w:t>
      </w:r>
      <w:bookmarkEnd w:id="103"/>
    </w:p>
    <w:p w:rsidR="008903EF" w:rsidRPr="00B00EEA" w:rsidRDefault="008903EF" w:rsidP="00B00EEA">
      <w:pPr>
        <w:pStyle w:val="Heading3"/>
        <w:spacing w:before="240" w:after="120"/>
        <w:ind w:left="810"/>
        <w:jc w:val="left"/>
        <w:rPr>
          <w:rStyle w:val="Heading3Char2"/>
          <w:b/>
        </w:rPr>
      </w:pPr>
      <w:bookmarkStart w:id="104" w:name="_Toc398748872"/>
      <w:r w:rsidRPr="00B00EEA">
        <w:rPr>
          <w:rStyle w:val="Heading3Char2"/>
          <w:b/>
        </w:rPr>
        <w:lastRenderedPageBreak/>
        <w:t>Provisioning</w:t>
      </w:r>
      <w:bookmarkEnd w:id="104"/>
    </w:p>
    <w:p w:rsidR="008903EF" w:rsidRDefault="008903EF" w:rsidP="00486882">
      <w:r>
        <w:t xml:space="preserve">A Provisioning diagram is shown below in Figure </w:t>
      </w:r>
      <w:r w:rsidR="00D30AF0">
        <w:t>17</w:t>
      </w:r>
      <w:r>
        <w:t xml:space="preserve">. Note that only the case where both SPs employ a common Service Bureau is shown for simplicity: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1"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drawing>
          <wp:inline distT="0" distB="0" distL="0" distR="0" wp14:anchorId="5BD5F92E" wp14:editId="3AC53054">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315224" cy="2783480"/>
                    </a:xfrm>
                    <a:prstGeom prst="rect">
                      <a:avLst/>
                    </a:prstGeom>
                    <a:noFill/>
                  </pic:spPr>
                </pic:pic>
              </a:graphicData>
            </a:graphic>
          </wp:inline>
        </w:drawing>
      </w:r>
    </w:p>
    <w:p w:rsidR="005B2A57" w:rsidRDefault="005B2A57" w:rsidP="005D1D40">
      <w:pPr>
        <w:pStyle w:val="Caption"/>
        <w:keepNext/>
      </w:pPr>
    </w:p>
    <w:p w:rsidR="005B2A57" w:rsidRDefault="005B2A57" w:rsidP="005B2A57">
      <w:pPr>
        <w:pStyle w:val="Caption"/>
      </w:pPr>
      <w:bookmarkStart w:id="105" w:name="_Toc398749501"/>
      <w:r>
        <w:t xml:space="preserve">Figure </w:t>
      </w:r>
      <w:r>
        <w:fldChar w:fldCharType="begin"/>
      </w:r>
      <w:r>
        <w:instrText xml:space="preserve"> SEQ Figure \* ARABIC </w:instrText>
      </w:r>
      <w:r>
        <w:fldChar w:fldCharType="separate"/>
      </w:r>
      <w:r>
        <w:rPr>
          <w:noProof/>
        </w:rPr>
        <w:t>17</w:t>
      </w:r>
      <w:r>
        <w:fldChar w:fldCharType="end"/>
      </w:r>
      <w:r>
        <w:t xml:space="preserve"> </w:t>
      </w:r>
      <w:r w:rsidDel="003706D0">
        <w:t>-</w:t>
      </w:r>
      <w:r>
        <w:t xml:space="preserve">– Provisioning - Query using Independent Service Bureau </w:t>
      </w:r>
      <w:r w:rsidDel="003706D0">
        <w:t>without the use of shared industry</w:t>
      </w:r>
      <w:bookmarkEnd w:id="105"/>
    </w:p>
    <w:p w:rsidR="006B0146" w:rsidRDefault="006B0146" w:rsidP="006B0146">
      <w:pPr>
        <w:pStyle w:val="Caption"/>
      </w:pPr>
      <w:proofErr w:type="gramStart"/>
      <w:r>
        <w:t>infrastructure</w:t>
      </w:r>
      <w:proofErr w:type="gramEnd"/>
    </w:p>
    <w:p w:rsidR="008903EF" w:rsidRPr="00486882" w:rsidRDefault="008903EF" w:rsidP="00486882">
      <w:pPr>
        <w:pStyle w:val="Heading3"/>
        <w:spacing w:before="240" w:after="120"/>
        <w:ind w:left="810"/>
        <w:jc w:val="left"/>
        <w:rPr>
          <w:rStyle w:val="Heading3Char2"/>
          <w:b/>
        </w:rPr>
      </w:pPr>
      <w:bookmarkStart w:id="106" w:name="_Toc398748873"/>
      <w:r w:rsidRPr="00486882">
        <w:rPr>
          <w:rStyle w:val="Heading3Char2"/>
          <w:b/>
        </w:rPr>
        <w:t>Call Flow</w:t>
      </w:r>
      <w:bookmarkEnd w:id="106"/>
    </w:p>
    <w:p w:rsidR="008903EF" w:rsidRDefault="008903EF" w:rsidP="00486882">
      <w:pPr>
        <w:spacing w:after="240"/>
        <w:textAlignment w:val="center"/>
      </w:pPr>
      <w:r>
        <w:t>An example of the Call Flow is shown below in Figur</w:t>
      </w:r>
      <w:r w:rsidR="0094655E">
        <w:t xml:space="preserve">e </w:t>
      </w:r>
      <w:r w:rsidR="00D30AF0">
        <w:t>18</w:t>
      </w:r>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6882">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486882">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lastRenderedPageBreak/>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drawing>
          <wp:inline distT="0" distB="0" distL="0" distR="0" wp14:anchorId="39DBDF75" wp14:editId="43185648">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5B2A57" w:rsidRDefault="005B2A57" w:rsidP="005D1D40">
      <w:pPr>
        <w:pStyle w:val="Caption"/>
        <w:keepNext/>
      </w:pPr>
    </w:p>
    <w:p w:rsidR="005B2A57" w:rsidRDefault="005B2A57" w:rsidP="005B2A57">
      <w:pPr>
        <w:pStyle w:val="Caption"/>
      </w:pPr>
      <w:bookmarkStart w:id="107" w:name="_Toc398749502"/>
      <w:r>
        <w:t xml:space="preserve">Figure </w:t>
      </w:r>
      <w:r>
        <w:fldChar w:fldCharType="begin"/>
      </w:r>
      <w:r>
        <w:instrText xml:space="preserve"> SEQ Figure \* ARABIC </w:instrText>
      </w:r>
      <w:r>
        <w:fldChar w:fldCharType="separate"/>
      </w:r>
      <w:r>
        <w:rPr>
          <w:noProof/>
        </w:rPr>
        <w:t>18</w:t>
      </w:r>
      <w:r>
        <w:fldChar w:fldCharType="end"/>
      </w:r>
      <w:r>
        <w:t xml:space="preserve"> - Call Flow - Query using Independent Service Bureau </w:t>
      </w:r>
      <w:r w:rsidDel="00122B28">
        <w:t>without the use of shared industry</w:t>
      </w:r>
      <w:bookmarkEnd w:id="107"/>
    </w:p>
    <w:p w:rsidR="008903EF" w:rsidRDefault="002732AD" w:rsidP="006B0146">
      <w:pPr>
        <w:pStyle w:val="Caption"/>
      </w:pPr>
      <w:proofErr w:type="gramStart"/>
      <w:r>
        <w:t>infrastructure</w:t>
      </w:r>
      <w:proofErr w:type="gramEnd"/>
    </w:p>
    <w:p w:rsidR="00E84557" w:rsidRPr="00BF47FB" w:rsidRDefault="00E84557" w:rsidP="00E84557">
      <w:r w:rsidRPr="00832245">
        <w:rPr>
          <w:highlight w:val="yellow"/>
        </w:rPr>
        <w:t xml:space="preserve">Editor’s Note: Each of these examples </w:t>
      </w:r>
      <w:r w:rsidR="00422B43" w:rsidRPr="00832245">
        <w:rPr>
          <w:highlight w:val="yellow"/>
        </w:rPr>
        <w:t xml:space="preserve">in Section 6 </w:t>
      </w:r>
      <w:r w:rsidRPr="00832245">
        <w:rPr>
          <w:highlight w:val="yellow"/>
        </w:rPr>
        <w:t>need use cases, provisioning, and call flow diagrams.</w:t>
      </w:r>
      <w:r w:rsidR="00422B43">
        <w:t xml:space="preserve">  </w:t>
      </w:r>
    </w:p>
    <w:p w:rsidR="006C677D" w:rsidRDefault="00D863F4" w:rsidP="005816BC">
      <w:pPr>
        <w:pStyle w:val="Heading1"/>
      </w:pPr>
      <w:bookmarkStart w:id="108" w:name="_Toc398748874"/>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108"/>
    </w:p>
    <w:p w:rsidR="006C677D" w:rsidRDefault="006C677D" w:rsidP="00B16394">
      <w:r>
        <w:t xml:space="preserve">This section discusses how </w:t>
      </w:r>
      <w:r w:rsidR="00847E30">
        <w:t xml:space="preserve">the two preciously discussed carrier routing approaches can co-exist (or potentially interwork) with each other. </w:t>
      </w:r>
    </w:p>
    <w:p w:rsidR="00737B04" w:rsidRPr="00737B04" w:rsidRDefault="00737B04" w:rsidP="00737B04">
      <w:r w:rsidRPr="00737B04">
        <w:t xml:space="preserve">When considering interworking 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 xml:space="preserve">mechanism for exchanging routing data. As a </w:t>
      </w:r>
      <w:r w:rsidRPr="00737B04">
        <w:lastRenderedPageBreak/>
        <w:t xml:space="preserve">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w:t>
      </w:r>
      <w:proofErr w:type="gramStart"/>
      <w:r w:rsidRPr="00737B04">
        <w:t>sources  as</w:t>
      </w:r>
      <w:proofErr w:type="gramEnd"/>
      <w:r w:rsidRPr="00737B04">
        <w:t xml:space="preserve">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r w:rsidR="00847E30" w:rsidRPr="00737B04">
        <w:t xml:space="preserve"> </w:t>
      </w:r>
      <w:r w:rsidRPr="00737B04">
        <w:t>NNI</w:t>
      </w:r>
      <w:r w:rsidR="00847E30">
        <w:t xml:space="preserve"> 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 xml:space="preserve">exchanged between carriers as part of interconnection negotiation. This is an important aspect </w:t>
      </w:r>
      <w:proofErr w:type="gramStart"/>
      <w:r w:rsidR="00737B04" w:rsidRPr="00737B04">
        <w:t xml:space="preserve">that </w:t>
      </w:r>
      <w:r>
        <w:t xml:space="preserve"> has</w:t>
      </w:r>
      <w:proofErr w:type="gramEnd"/>
      <w:r>
        <w:t xml:space="preserve">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109" w:name="_Toc398748875"/>
      <w:r>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109"/>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per-TN SP receives the aggregate data and then creates individual TN records in its routing server based on that data. For example, if an AOCN to SBC IP address mapping is provided, the per-TN SP uses</w:t>
      </w:r>
      <w:r w:rsidR="00B26868">
        <w:t xml:space="preserve"> associated industry</w:t>
      </w:r>
      <w:r w:rsidR="00162ADD">
        <w:t xml:space="preserve"> data to map </w:t>
      </w:r>
      <w:r w:rsidR="004A2AD0">
        <w:t xml:space="preserve">the AOCN into the set of TNs the aggregate SP is offering for IP traffic exchange. This </w:t>
      </w:r>
      <w:r w:rsidR="00B26868">
        <w:t xml:space="preserve">involves </w:t>
      </w:r>
      <w:r w:rsidR="004A2AD0">
        <w:t xml:space="preserve">determining the set of NPA-NXXs and/or thousands blocks under the AOCN,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AOCN</w:t>
      </w:r>
      <w:r w:rsidR="004A2AD0">
        <w:t xml:space="preserve"> (</w:t>
      </w:r>
      <w:r w:rsidR="00B26868">
        <w:t xml:space="preserve">i.e., </w:t>
      </w:r>
      <w:r w:rsidR="004A2AD0">
        <w:t xml:space="preserve">has an NPA-NXX with the code holder AOCN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w:t>
      </w:r>
      <w:r w:rsidR="00B26868">
        <w:t xml:space="preserve">a </w:t>
      </w:r>
      <w:r>
        <w:t xml:space="preserve">registry operator and the aggregate data could be delivered to the registry </w:t>
      </w:r>
      <w:r w:rsidR="00B26868">
        <w:t xml:space="preserve">operator </w:t>
      </w:r>
      <w:r>
        <w:t xml:space="preserve">by the aggregate provider. Because the registry 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xml:space="preserve">.  The records </w:t>
      </w:r>
      <w:proofErr w:type="gramStart"/>
      <w:r w:rsidR="00B26868">
        <w:t>however</w:t>
      </w:r>
      <w:r>
        <w:t xml:space="preserve"> </w:t>
      </w:r>
      <w:r w:rsidR="00B26868">
        <w:t xml:space="preserve"> could</w:t>
      </w:r>
      <w:proofErr w:type="gramEnd"/>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w:t>
      </w:r>
      <w:proofErr w:type="gramStart"/>
      <w:r w:rsidR="00565819">
        <w:t xml:space="preserve">hostname  </w:t>
      </w:r>
      <w:r w:rsidR="00B26868">
        <w:t>AOCN</w:t>
      </w:r>
      <w:proofErr w:type="gramEnd"/>
      <w:r w:rsidR="00B26868">
        <w:t xml:space="preserve"> “</w:t>
      </w:r>
      <w:r w:rsidR="00565819">
        <w:t>&lt;</w:t>
      </w:r>
      <w:proofErr w:type="spellStart"/>
      <w:r w:rsidR="00565819">
        <w:t>aocn</w:t>
      </w:r>
      <w:proofErr w:type="spellEnd"/>
      <w:r w:rsidR="00565819">
        <w:t>&gt;.&lt;</w:t>
      </w:r>
      <w:proofErr w:type="spellStart"/>
      <w:r w:rsidR="00565819">
        <w:t>spname</w:t>
      </w:r>
      <w:proofErr w:type="spellEnd"/>
      <w:r w:rsidR="00565819">
        <w:t>&gt;</w:t>
      </w:r>
      <w:r w:rsidR="00B26868">
        <w:t>”</w:t>
      </w:r>
      <w:r w:rsidR="00565819">
        <w:t xml:space="preserve">.net might be used in the registry 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records that match the host name to the IP address associated with the corresponding AOCN in the bilateral data exchange.</w:t>
      </w:r>
    </w:p>
    <w:p w:rsidR="00E74035" w:rsidRDefault="00E74035" w:rsidP="00B16394"/>
    <w:p w:rsidR="00E74035" w:rsidRDefault="00B26868" w:rsidP="00B16394">
      <w:pPr>
        <w:pStyle w:val="Heading2"/>
      </w:pPr>
      <w:bookmarkStart w:id="110" w:name="_Toc398748876"/>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110"/>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w:t>
      </w:r>
      <w:proofErr w:type="spellStart"/>
      <w:r>
        <w:t>VoLTE</w:t>
      </w:r>
      <w:proofErr w:type="spellEnd"/>
      <w:r>
        <w:t xml:space="preserve"> (IP) and GSM/UMTS (non-IP) subscribers that are not distinguished from a NANP data </w:t>
      </w:r>
      <w:r w:rsidR="004E253F">
        <w:t xml:space="preserve">construct </w:t>
      </w:r>
      <w:r>
        <w:t>view may simply provide mappings from, for example, its AOCNs to it</w:t>
      </w:r>
      <w:r w:rsidR="004E253F">
        <w:t>s</w:t>
      </w:r>
      <w:r>
        <w:t xml:space="preserve"> SBC IP addresses. This will result in some </w:t>
      </w:r>
      <w:proofErr w:type="spellStart"/>
      <w:r>
        <w:t>VoLTE</w:t>
      </w:r>
      <w:proofErr w:type="spellEnd"/>
      <w:r>
        <w:t xml:space="preserv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lastRenderedPageBreak/>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w:t>
      </w:r>
      <w:r w:rsidR="004E253F">
        <w:t xml:space="preserve"> through a third party</w:t>
      </w:r>
      <w:r>
        <w:t xml:space="preserve"> </w:t>
      </w:r>
      <w:r w:rsidR="004E253F">
        <w:t xml:space="preserve">or a </w:t>
      </w:r>
      <w:r>
        <w:t>registry</w:t>
      </w:r>
      <w:r w:rsidR="004E253F">
        <w:t xml:space="preserve"> operator</w:t>
      </w:r>
      <w:r>
        <w:t>.</w:t>
      </w:r>
    </w:p>
    <w:p w:rsidR="007146CC" w:rsidRDefault="007146CC" w:rsidP="00B16394"/>
    <w:p w:rsidR="007146CC" w:rsidRDefault="007146CC" w:rsidP="00B16394">
      <w:pPr>
        <w:pStyle w:val="Heading2"/>
      </w:pPr>
      <w:bookmarkStart w:id="111" w:name="_Toc398748877"/>
      <w:r>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ata</w:t>
      </w:r>
      <w:bookmarkEnd w:id="111"/>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 xml:space="preserve">aggregate </w:t>
      </w:r>
      <w:proofErr w:type="spellStart"/>
      <w:r>
        <w:t>inputand</w:t>
      </w:r>
      <w:proofErr w:type="spellEnd"/>
      <w:r>
        <w:t xml:space="preserve">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112" w:name="_Toc398748878"/>
      <w:r>
        <w:t>Using the NPAC to interoperate on a per-TN and aggregate basis</w:t>
      </w:r>
      <w:bookmarkEnd w:id="112"/>
    </w:p>
    <w:p w:rsidR="00D76A74" w:rsidRPr="00F63F04" w:rsidRDefault="00D76A74" w:rsidP="00D76A74">
      <w:pPr>
        <w:pStyle w:val="Heading3"/>
      </w:pPr>
      <w:bookmarkStart w:id="113" w:name="_Toc398748879"/>
      <w:r w:rsidRPr="00F63F04">
        <w:t>Overview</w:t>
      </w:r>
      <w:bookmarkEnd w:id="113"/>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industry 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114" w:name="_Toc398748880"/>
      <w:r w:rsidRPr="005816BC">
        <w:t>High Level Description</w:t>
      </w:r>
      <w:bookmarkEnd w:id="114"/>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industry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industry 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industry 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115" w:name="_Toc398748881"/>
      <w:r>
        <w:t>Provisioning</w:t>
      </w:r>
      <w:bookmarkEnd w:id="115"/>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lastRenderedPageBreak/>
        <w:t>The</w:t>
      </w:r>
      <w:r w:rsidRPr="000978AD">
        <w:rPr>
          <w:b w:val="0"/>
          <w:sz w:val="20"/>
        </w:rPr>
        <w:t xml:space="preserve"> key constraint in the industry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122B28" w:rsidP="00A0347C">
      <w:pPr>
        <w:pStyle w:val="BodyText"/>
        <w:jc w:val="left"/>
        <w:rPr>
          <w:b w:val="0"/>
          <w:sz w:val="20"/>
        </w:rPr>
      </w:pPr>
      <w:r>
        <w:rPr>
          <w:b w:val="0"/>
          <w:sz w:val="20"/>
        </w:rPr>
        <w:lastRenderedPageBreak/>
        <w:t>Figure 19</w:t>
      </w:r>
      <w:r w:rsidR="00A0347C">
        <w:rPr>
          <w:b w:val="0"/>
          <w:sz w:val="20"/>
        </w:rPr>
        <w:t xml:space="preserve"> below highlights the provisioning and distribution aspects of the solution. </w:t>
      </w:r>
      <w:r w:rsidR="00A0347C" w:rsidRPr="00C13FA1">
        <w:rPr>
          <w:b w:val="0"/>
          <w:sz w:val="20"/>
        </w:rPr>
        <w:t xml:space="preserve"> </w:t>
      </w:r>
      <w:r w:rsidR="00A0347C" w:rsidRPr="000978AD">
        <w:rPr>
          <w:b w:val="0"/>
          <w:sz w:val="20"/>
        </w:rPr>
        <w:t xml:space="preserve">For </w:t>
      </w:r>
      <w:r w:rsidR="00A0347C">
        <w:rPr>
          <w:b w:val="0"/>
          <w:sz w:val="20"/>
        </w:rPr>
        <w:t>illustrative</w:t>
      </w:r>
      <w:r w:rsidR="00A0347C" w:rsidRPr="000978AD">
        <w:rPr>
          <w:b w:val="0"/>
          <w:sz w:val="20"/>
        </w:rPr>
        <w:t xml:space="preserve"> purposes</w:t>
      </w:r>
      <w:r w:rsidR="00A0347C">
        <w:rPr>
          <w:b w:val="0"/>
          <w:sz w:val="20"/>
        </w:rPr>
        <w:t xml:space="preserve"> and in an attempt to just give the reader an introduction to how the solution can work</w:t>
      </w:r>
      <w:r w:rsidR="00A0347C" w:rsidRPr="000978AD">
        <w:rPr>
          <w:b w:val="0"/>
          <w:sz w:val="20"/>
        </w:rPr>
        <w:t>, the aggregate routing data</w:t>
      </w:r>
      <w:r w:rsidR="00A0347C">
        <w:rPr>
          <w:b w:val="0"/>
          <w:sz w:val="20"/>
        </w:rPr>
        <w:t xml:space="preserve"> input</w:t>
      </w:r>
      <w:r w:rsidR="00A0347C" w:rsidRPr="000978AD">
        <w:rPr>
          <w:b w:val="0"/>
          <w:sz w:val="20"/>
        </w:rPr>
        <w:t xml:space="preserve"> is </w:t>
      </w:r>
      <w:r w:rsidR="00A0347C">
        <w:rPr>
          <w:b w:val="0"/>
          <w:sz w:val="20"/>
        </w:rPr>
        <w:t>assumed to be in</w:t>
      </w:r>
      <w:r w:rsidR="00A0347C" w:rsidRPr="000978AD">
        <w:rPr>
          <w:b w:val="0"/>
          <w:sz w:val="20"/>
        </w:rPr>
        <w:t xml:space="preserve"> the form of an NPA-NXX (a native NANP 6-digit code or </w:t>
      </w:r>
      <w:r w:rsidR="00A0347C">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r>
        <w:rPr>
          <w:noProof/>
        </w:rPr>
        <w:drawing>
          <wp:inline distT="0" distB="0" distL="0" distR="0" wp14:anchorId="17B2ECA3" wp14:editId="462CF2F2">
            <wp:extent cx="5917924" cy="413094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p>
    <w:p w:rsidR="00A0347C" w:rsidRDefault="005B2A57" w:rsidP="005D1D40">
      <w:pPr>
        <w:pStyle w:val="Caption"/>
        <w:rPr>
          <w:b w:val="0"/>
        </w:rPr>
      </w:pPr>
      <w:bookmarkStart w:id="116" w:name="_Toc398749503"/>
      <w:r>
        <w:t xml:space="preserve">Figure </w:t>
      </w:r>
      <w:r>
        <w:fldChar w:fldCharType="begin"/>
      </w:r>
      <w:r>
        <w:instrText xml:space="preserve"> SEQ Figure \* ARABIC </w:instrText>
      </w:r>
      <w:r>
        <w:fldChar w:fldCharType="separate"/>
      </w:r>
      <w:r>
        <w:rPr>
          <w:noProof/>
        </w:rPr>
        <w:t>19</w:t>
      </w:r>
      <w:r>
        <w:fldChar w:fldCharType="end"/>
      </w:r>
      <w:r>
        <w:t xml:space="preserve"> - Provisioning – Using the NPAC to Interoperate on a per-TN and Aggregate Basis</w:t>
      </w:r>
      <w:bookmarkEnd w:id="116"/>
    </w:p>
    <w:p w:rsidR="00A0347C" w:rsidRDefault="00A0347C" w:rsidP="005D1D40">
      <w:pPr>
        <w:widowControl w:val="0"/>
        <w:numPr>
          <w:ilvl w:val="0"/>
          <w:numId w:val="59"/>
        </w:numPr>
        <w:spacing w:before="0" w:after="24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rsidP="005D1D40">
      <w:pPr>
        <w:widowControl w:val="0"/>
        <w:numPr>
          <w:ilvl w:val="0"/>
          <w:numId w:val="59"/>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A0347C" w:rsidRDefault="00A0347C" w:rsidP="005D1D40">
      <w:pPr>
        <w:pStyle w:val="BodyText"/>
        <w:widowControl w:val="0"/>
        <w:numPr>
          <w:ilvl w:val="0"/>
          <w:numId w:val="59"/>
        </w:numPr>
        <w:spacing w:before="0"/>
        <w:ind w:left="810" w:hanging="450"/>
        <w:jc w:val="left"/>
        <w:rPr>
          <w:b w:val="0"/>
          <w:sz w:val="20"/>
        </w:rPr>
      </w:pPr>
      <w:r>
        <w:rPr>
          <w:b w:val="0"/>
          <w:sz w:val="20"/>
        </w:rPr>
        <w:t>SP2 shares aggregate routing data with an established third party service.  For example,</w:t>
      </w:r>
    </w:p>
    <w:p w:rsidR="00A0347C" w:rsidRDefault="00A0347C" w:rsidP="005D1D40">
      <w:pPr>
        <w:pStyle w:val="BodyText"/>
        <w:widowControl w:val="0"/>
        <w:numPr>
          <w:ilvl w:val="1"/>
          <w:numId w:val="59"/>
        </w:numPr>
        <w:spacing w:before="0"/>
        <w:ind w:left="1170"/>
        <w:jc w:val="left"/>
        <w:rPr>
          <w:b w:val="0"/>
          <w:sz w:val="20"/>
        </w:rPr>
      </w:pPr>
      <w:r>
        <w:rPr>
          <w:b w:val="0"/>
          <w:sz w:val="20"/>
        </w:rPr>
        <w:lastRenderedPageBreak/>
        <w:t>SP2</w:t>
      </w:r>
      <w:r w:rsidRPr="000978AD">
        <w:rPr>
          <w:b w:val="0"/>
          <w:sz w:val="20"/>
        </w:rPr>
        <w:t xml:space="preserve"> designates LRN 508-332 for IP interconnection</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rsidP="005D1D40">
      <w:pPr>
        <w:pStyle w:val="BodyText"/>
        <w:widowControl w:val="0"/>
        <w:numPr>
          <w:ilvl w:val="0"/>
          <w:numId w:val="59"/>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industry NPAC on behalf of SP2.  For one example use case,</w:t>
      </w:r>
      <w:r w:rsidRPr="000978AD">
        <w:rPr>
          <w:b w:val="0"/>
          <w:sz w:val="20"/>
        </w:rPr>
        <w:t xml:space="preserve"> </w:t>
      </w:r>
    </w:p>
    <w:p w:rsidR="00A0347C" w:rsidRDefault="00A0347C" w:rsidP="005D1D40">
      <w:pPr>
        <w:pStyle w:val="BodyText"/>
        <w:widowControl w:val="0"/>
        <w:numPr>
          <w:ilvl w:val="1"/>
          <w:numId w:val="59"/>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industry NPAC pro</w:t>
      </w:r>
      <w:r>
        <w:rPr>
          <w:b w:val="0"/>
          <w:sz w:val="20"/>
        </w:rPr>
        <w:t>visioning actions.  For example,</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were found to exist in the industry NPAC with LRN 508332XXXX</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117" w:name="_Toc398748882"/>
      <w:r>
        <w:t>Call Flow</w:t>
      </w:r>
      <w:bookmarkEnd w:id="117"/>
    </w:p>
    <w:p w:rsidR="00A0347C" w:rsidRDefault="00A0347C" w:rsidP="00A0347C">
      <w:pPr>
        <w:pStyle w:val="BodyText"/>
        <w:jc w:val="left"/>
        <w:rPr>
          <w:b w:val="0"/>
          <w:sz w:val="20"/>
        </w:rPr>
      </w:pPr>
      <w:r>
        <w:rPr>
          <w:b w:val="0"/>
          <w:sz w:val="20"/>
        </w:rPr>
        <w:t>Figure 2</w:t>
      </w:r>
      <w:r w:rsidR="00122B28">
        <w:rPr>
          <w:b w:val="0"/>
          <w:sz w:val="20"/>
        </w:rPr>
        <w:t>0</w:t>
      </w:r>
      <w:r>
        <w:rPr>
          <w:b w:val="0"/>
          <w:sz w:val="20"/>
        </w:rPr>
        <w:t xml:space="preserve">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drawing>
          <wp:inline distT="0" distB="0" distL="0" distR="0" wp14:anchorId="4570FD90" wp14:editId="1ABC5A60">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Default="00122B28" w:rsidP="005D1D40">
      <w:pPr>
        <w:pStyle w:val="Caption"/>
      </w:pPr>
      <w:bookmarkStart w:id="118" w:name="_Toc398749504"/>
      <w:r>
        <w:t xml:space="preserve">Figure </w:t>
      </w:r>
      <w:r>
        <w:fldChar w:fldCharType="begin"/>
      </w:r>
      <w:r>
        <w:instrText xml:space="preserve"> SEQ Figure \* ARABIC </w:instrText>
      </w:r>
      <w:r>
        <w:fldChar w:fldCharType="separate"/>
      </w:r>
      <w:r>
        <w:rPr>
          <w:noProof/>
        </w:rPr>
        <w:t>20</w:t>
      </w:r>
      <w:r>
        <w:fldChar w:fldCharType="end"/>
      </w:r>
      <w:r>
        <w:t xml:space="preserve"> - Call Flow - </w:t>
      </w:r>
      <w:r w:rsidRPr="00851EC5">
        <w:t>Using the NPAC to Interoperate on a per-TN and Aggregate Basis</w:t>
      </w:r>
      <w:bookmarkEnd w:id="118"/>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lastRenderedPageBreak/>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119" w:name="_Toc398748883"/>
      <w:r>
        <w:t>Summary</w:t>
      </w:r>
      <w:bookmarkEnd w:id="119"/>
    </w:p>
    <w:p w:rsidR="00BF47FB" w:rsidRDefault="00A0347C" w:rsidP="00A0347C">
      <w:r>
        <w:t>The solution proposed above is</w:t>
      </w:r>
      <w:r w:rsidRPr="000978AD">
        <w:t xml:space="preserve"> just one potential “middle ground” for industry consideration.  </w:t>
      </w:r>
      <w:r>
        <w:t>It is instantiated over existing industry NPAC infrastructure and conforms to approved/adopted change orders.  Using</w:t>
      </w:r>
      <w:r w:rsidRPr="000978AD">
        <w:t xml:space="preserve"> the</w:t>
      </w:r>
      <w:r>
        <w:t xml:space="preserve"> </w:t>
      </w:r>
      <w:r w:rsidRPr="000978AD">
        <w:t xml:space="preserve">industry 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industry NPAC.  This per-TN</w:t>
      </w:r>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152882" w:rsidP="00486882">
      <w:pPr>
        <w:pStyle w:val="Heading1"/>
      </w:pPr>
      <w:bookmarkStart w:id="120" w:name="_Toc398748884"/>
      <w:r>
        <w:t>Next Steps</w:t>
      </w:r>
      <w:bookmarkEnd w:id="120"/>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121" w:name="_Toc398748885"/>
      <w:r>
        <w:t xml:space="preserve">Appendix </w:t>
      </w:r>
      <w:r w:rsidR="006B0146">
        <w:t xml:space="preserve">A </w:t>
      </w:r>
      <w:r>
        <w:t xml:space="preserve">- </w:t>
      </w:r>
      <w:r w:rsidR="00A162B0">
        <w:t>Comparative Characteristics Matrix</w:t>
      </w:r>
      <w:bookmarkEnd w:id="121"/>
    </w:p>
    <w:p w:rsidR="00B105AC" w:rsidRDefault="00122B28" w:rsidP="00B105AC">
      <w:pPr>
        <w:spacing w:before="0" w:after="0"/>
        <w:jc w:val="left"/>
        <w:rPr>
          <w:b/>
        </w:rPr>
      </w:pPr>
      <w:r>
        <w:t xml:space="preserve">The IP-NNI Task Force developed the following list of comparison characteristics that could be used when evaluating potential solutions. </w:t>
      </w:r>
    </w:p>
    <w:p w:rsidR="00B105AC" w:rsidRPr="00561229" w:rsidRDefault="00B105AC" w:rsidP="00B105AC">
      <w:pPr>
        <w:spacing w:before="0" w:after="0"/>
        <w:jc w:val="left"/>
        <w:rPr>
          <w:b/>
        </w:rPr>
      </w:pPr>
    </w:p>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D272F2" w:rsidTr="005D1D40">
        <w:tc>
          <w:tcPr>
            <w:tcW w:w="468" w:type="dxa"/>
          </w:tcPr>
          <w:p w:rsidR="00B105AC" w:rsidRPr="00CE3FB5" w:rsidRDefault="00B105AC" w:rsidP="00800B5D">
            <w:pPr>
              <w:spacing w:before="0" w:after="0"/>
              <w:jc w:val="center"/>
              <w:rPr>
                <w:b/>
                <w:sz w:val="24"/>
                <w:szCs w:val="24"/>
              </w:rPr>
            </w:pPr>
            <w:r>
              <w:rPr>
                <w:b/>
                <w:sz w:val="24"/>
                <w:szCs w:val="24"/>
              </w:rPr>
              <w:t>#</w:t>
            </w:r>
          </w:p>
        </w:tc>
        <w:tc>
          <w:tcPr>
            <w:tcW w:w="2070" w:type="dxa"/>
            <w:vAlign w:val="center"/>
          </w:tcPr>
          <w:p w:rsidR="00B105AC" w:rsidRPr="00CE3FB5" w:rsidRDefault="00B105AC" w:rsidP="00800B5D">
            <w:pPr>
              <w:spacing w:before="0" w:after="0"/>
              <w:jc w:val="center"/>
              <w:rPr>
                <w:b/>
                <w:sz w:val="24"/>
                <w:szCs w:val="24"/>
              </w:rPr>
            </w:pPr>
            <w:r>
              <w:rPr>
                <w:b/>
                <w:sz w:val="24"/>
                <w:szCs w:val="24"/>
              </w:rPr>
              <w:t>Characteristics</w:t>
            </w:r>
            <w:r w:rsidRPr="00CE3FB5" w:rsidDel="00830202">
              <w:rPr>
                <w:b/>
                <w:sz w:val="24"/>
                <w:szCs w:val="24"/>
              </w:rPr>
              <w:t xml:space="preserve"> </w:t>
            </w:r>
            <w:r w:rsidRPr="00CE3FB5">
              <w:rPr>
                <w:b/>
                <w:sz w:val="24"/>
                <w:szCs w:val="24"/>
              </w:rPr>
              <w:t>Group</w:t>
            </w:r>
          </w:p>
        </w:tc>
        <w:tc>
          <w:tcPr>
            <w:tcW w:w="4230" w:type="dxa"/>
            <w:vAlign w:val="center"/>
          </w:tcPr>
          <w:p w:rsidR="00B105AC" w:rsidRPr="00CE3FB5" w:rsidRDefault="00B105AC" w:rsidP="00800B5D">
            <w:pPr>
              <w:spacing w:before="0" w:after="0"/>
              <w:jc w:val="center"/>
              <w:rPr>
                <w:b/>
                <w:sz w:val="24"/>
                <w:szCs w:val="24"/>
              </w:rPr>
            </w:pPr>
            <w:r>
              <w:rPr>
                <w:b/>
                <w:sz w:val="24"/>
                <w:szCs w:val="24"/>
              </w:rPr>
              <w:t>Characteristics</w:t>
            </w:r>
          </w:p>
        </w:tc>
        <w:tc>
          <w:tcPr>
            <w:tcW w:w="1620" w:type="dxa"/>
            <w:vAlign w:val="center"/>
          </w:tcPr>
          <w:p w:rsidR="00B105AC" w:rsidRPr="00CE3FB5" w:rsidRDefault="00B105AC" w:rsidP="00800B5D">
            <w:pPr>
              <w:spacing w:before="0" w:after="0"/>
              <w:ind w:right="270"/>
              <w:jc w:val="center"/>
              <w:rPr>
                <w:b/>
                <w:sz w:val="24"/>
                <w:szCs w:val="24"/>
              </w:rPr>
            </w:pPr>
            <w:r w:rsidRPr="00E84810">
              <w:rPr>
                <w:b/>
                <w:szCs w:val="24"/>
              </w:rPr>
              <w:t>Information type</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1</w:t>
            </w:r>
          </w:p>
        </w:tc>
        <w:tc>
          <w:tcPr>
            <w:tcW w:w="2070" w:type="dxa"/>
          </w:tcPr>
          <w:p w:rsidR="00B105AC" w:rsidRPr="00F53694" w:rsidRDefault="00B105AC" w:rsidP="00800B5D">
            <w:pPr>
              <w:spacing w:before="0" w:after="0"/>
              <w:jc w:val="left"/>
              <w:rPr>
                <w:sz w:val="18"/>
                <w:szCs w:val="18"/>
              </w:rPr>
            </w:pPr>
            <w:r>
              <w:rPr>
                <w:sz w:val="18"/>
                <w:szCs w:val="18"/>
              </w:rPr>
              <w:t>Performance</w:t>
            </w:r>
          </w:p>
        </w:tc>
        <w:tc>
          <w:tcPr>
            <w:tcW w:w="4230" w:type="dxa"/>
          </w:tcPr>
          <w:p w:rsidR="00B105AC" w:rsidRPr="00561229" w:rsidRDefault="00B105AC" w:rsidP="00800B5D">
            <w:pPr>
              <w:spacing w:before="0" w:after="0"/>
              <w:jc w:val="left"/>
              <w:rPr>
                <w:b/>
                <w:sz w:val="18"/>
                <w:szCs w:val="18"/>
                <w:highlight w:val="yellow"/>
              </w:rPr>
            </w:pPr>
            <w:r w:rsidRPr="005D1D40">
              <w:rPr>
                <w:sz w:val="18"/>
                <w:szCs w:val="18"/>
              </w:rPr>
              <w:t>Scalability</w:t>
            </w:r>
            <w:r w:rsidRPr="00561229">
              <w:rPr>
                <w:b/>
                <w:sz w:val="28"/>
                <w:szCs w:val="18"/>
              </w:rPr>
              <w:t xml:space="preserve"> </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2</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Reliability</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3</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Call setup time</w:t>
            </w:r>
          </w:p>
        </w:tc>
        <w:tc>
          <w:tcPr>
            <w:tcW w:w="1620" w:type="dxa"/>
          </w:tcPr>
          <w:p w:rsidR="00B105AC" w:rsidRDefault="00B105AC" w:rsidP="00800B5D">
            <w:pPr>
              <w:spacing w:before="0" w:after="0"/>
              <w:jc w:val="left"/>
              <w:rPr>
                <w:sz w:val="18"/>
                <w:szCs w:val="18"/>
              </w:rPr>
            </w:pPr>
            <w:r>
              <w:rPr>
                <w:sz w:val="18"/>
                <w:szCs w:val="18"/>
              </w:rPr>
              <w:t>Value range &amp; conditions</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4</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Impact on signaling traffic</w:t>
            </w:r>
          </w:p>
        </w:tc>
        <w:tc>
          <w:tcPr>
            <w:tcW w:w="1620" w:type="dxa"/>
          </w:tcPr>
          <w:p w:rsidR="00B105AC"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5</w:t>
            </w:r>
          </w:p>
        </w:tc>
        <w:tc>
          <w:tcPr>
            <w:tcW w:w="2070" w:type="dxa"/>
          </w:tcPr>
          <w:p w:rsidR="00B105AC" w:rsidRPr="00F53694" w:rsidRDefault="00B105AC" w:rsidP="00800B5D">
            <w:pPr>
              <w:spacing w:before="0" w:after="0"/>
              <w:jc w:val="left"/>
              <w:rPr>
                <w:sz w:val="18"/>
                <w:szCs w:val="18"/>
              </w:rPr>
            </w:pPr>
            <w:r w:rsidRPr="00F53694">
              <w:rPr>
                <w:sz w:val="18"/>
                <w:szCs w:val="18"/>
              </w:rPr>
              <w:t>Service requirements</w:t>
            </w:r>
          </w:p>
        </w:tc>
        <w:tc>
          <w:tcPr>
            <w:tcW w:w="4230" w:type="dxa"/>
          </w:tcPr>
          <w:p w:rsidR="00B105AC" w:rsidRPr="00ED26AC" w:rsidRDefault="00B105AC" w:rsidP="00800B5D">
            <w:pPr>
              <w:spacing w:before="0" w:after="0"/>
              <w:jc w:val="left"/>
              <w:rPr>
                <w:sz w:val="18"/>
                <w:szCs w:val="18"/>
              </w:rPr>
            </w:pPr>
            <w:r w:rsidRPr="00ED26AC">
              <w:rPr>
                <w:sz w:val="18"/>
                <w:szCs w:val="18"/>
              </w:rPr>
              <w:t>Ability to specify interconnection information with finer granularity than at the service provider level</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lastRenderedPageBreak/>
              <w:t>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specify different interconnection attributes for different groupings of a service providers’ numbers</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for aggregation of routing information above the individual number level.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to get some insight into the service capabilities of destinations before routing a call.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Supports the ability to provide GETS.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10</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 a mechanism for interconnecting carriers to identify different interconnection points (for a given group of TNs) depending on the originating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11</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exchange routing data between carriers in bulk.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query a locally cached copy within each carrier, rather than always having to query the terminating carrier. </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clear path to a global solution</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good solution for the end-state all-IP network</w:t>
            </w:r>
          </w:p>
        </w:tc>
        <w:tc>
          <w:tcPr>
            <w:tcW w:w="1620" w:type="dxa"/>
          </w:tcPr>
          <w:p w:rsidR="00B105AC" w:rsidRDefault="00B105AC" w:rsidP="00800B5D">
            <w:pPr>
              <w:jc w:val="left"/>
            </w:pPr>
            <w:r w:rsidRPr="002B5680">
              <w:rPr>
                <w:sz w:val="18"/>
                <w:szCs w:val="18"/>
              </w:rPr>
              <w:t>Yes/No</w:t>
            </w:r>
            <w:r>
              <w:rPr>
                <w:sz w:val="18"/>
                <w:szCs w:val="18"/>
              </w:rPr>
              <w:t xml:space="preserve"> or degree?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Maintains backwards compatibility to (or interworking) during the transition to an all-IP network</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support non-E.164 public user identities</w:t>
            </w:r>
          </w:p>
        </w:tc>
        <w:tc>
          <w:tcPr>
            <w:tcW w:w="1620" w:type="dxa"/>
          </w:tcPr>
          <w:p w:rsidR="00B105AC" w:rsidRPr="00CE3FB5"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must be synchronized to number portability solutions</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is not tied to historical geography of numbering plan</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20</w:t>
            </w:r>
          </w:p>
        </w:tc>
        <w:tc>
          <w:tcPr>
            <w:tcW w:w="2070" w:type="dxa"/>
          </w:tcPr>
          <w:p w:rsidR="00B105AC"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open internet routing</w:t>
            </w:r>
          </w:p>
        </w:tc>
        <w:tc>
          <w:tcPr>
            <w:tcW w:w="1620" w:type="dxa"/>
          </w:tcPr>
          <w:p w:rsidR="00B105AC"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21</w:t>
            </w:r>
          </w:p>
        </w:tc>
        <w:tc>
          <w:tcPr>
            <w:tcW w:w="2070" w:type="dxa"/>
          </w:tcPr>
          <w:p w:rsidR="00B105AC" w:rsidRPr="00CE3FB5" w:rsidRDefault="00B105AC" w:rsidP="00800B5D">
            <w:pPr>
              <w:spacing w:before="0" w:after="0"/>
              <w:jc w:val="left"/>
              <w:rPr>
                <w:sz w:val="18"/>
                <w:szCs w:val="18"/>
              </w:rPr>
            </w:pPr>
            <w:r>
              <w:rPr>
                <w:sz w:val="18"/>
                <w:szCs w:val="18"/>
              </w:rPr>
              <w:t>Solution complexity</w:t>
            </w:r>
          </w:p>
        </w:tc>
        <w:tc>
          <w:tcPr>
            <w:tcW w:w="4230" w:type="dxa"/>
          </w:tcPr>
          <w:p w:rsidR="00B105AC" w:rsidRPr="00ED26AC" w:rsidRDefault="00B105AC" w:rsidP="00800B5D">
            <w:pPr>
              <w:spacing w:before="0" w:after="0"/>
              <w:jc w:val="left"/>
              <w:rPr>
                <w:sz w:val="18"/>
                <w:szCs w:val="18"/>
              </w:rPr>
            </w:pPr>
            <w:r w:rsidRPr="00ED26AC">
              <w:rPr>
                <w:sz w:val="18"/>
                <w:szCs w:val="18"/>
              </w:rPr>
              <w:t>Time to implement – common infrastructure</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Impact on core network elements? </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service provider systems</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What external bodies are required to modify existing arrangements, systems, etc.? </w:t>
            </w:r>
          </w:p>
        </w:tc>
        <w:tc>
          <w:tcPr>
            <w:tcW w:w="1620" w:type="dxa"/>
          </w:tcPr>
          <w:p w:rsidR="00B105AC" w:rsidRPr="00CE3FB5" w:rsidRDefault="00B105AC" w:rsidP="00800B5D">
            <w:pPr>
              <w:spacing w:before="0" w:after="0"/>
              <w:jc w:val="left"/>
              <w:rPr>
                <w:sz w:val="18"/>
                <w:szCs w:val="18"/>
              </w:rPr>
            </w:pPr>
            <w:r>
              <w:rPr>
                <w:sz w:val="18"/>
                <w:szCs w:val="18"/>
              </w:rPr>
              <w:t>Enumerate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industry systems</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Level of dependence on “CO codes”, even during the transition?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Needs for additional industry systems &amp; interfaces?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28</w:t>
            </w:r>
          </w:p>
        </w:tc>
        <w:tc>
          <w:tcPr>
            <w:tcW w:w="2070" w:type="dxa"/>
          </w:tcPr>
          <w:p w:rsidR="00B105AC" w:rsidRPr="00CE3FB5" w:rsidRDefault="00B105AC" w:rsidP="00800B5D">
            <w:pPr>
              <w:spacing w:before="0" w:after="0"/>
              <w:jc w:val="left"/>
              <w:rPr>
                <w:sz w:val="18"/>
                <w:szCs w:val="18"/>
              </w:rPr>
            </w:pPr>
            <w:r>
              <w:rPr>
                <w:sz w:val="18"/>
                <w:szCs w:val="18"/>
              </w:rPr>
              <w:t>Security</w:t>
            </w:r>
          </w:p>
        </w:tc>
        <w:tc>
          <w:tcPr>
            <w:tcW w:w="4230" w:type="dxa"/>
          </w:tcPr>
          <w:p w:rsidR="00B105AC" w:rsidRPr="00ED26AC" w:rsidRDefault="00B105AC" w:rsidP="00800B5D">
            <w:pPr>
              <w:spacing w:before="0" w:after="0"/>
              <w:jc w:val="left"/>
              <w:rPr>
                <w:sz w:val="18"/>
                <w:szCs w:val="18"/>
              </w:rPr>
            </w:pPr>
            <w:r w:rsidRPr="00ED26AC">
              <w:rPr>
                <w:sz w:val="18"/>
                <w:szCs w:val="18"/>
              </w:rPr>
              <w:t>Increase in vulnerability</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secure tunnels</w:t>
            </w:r>
          </w:p>
        </w:tc>
        <w:tc>
          <w:tcPr>
            <w:tcW w:w="1620" w:type="dxa"/>
          </w:tcPr>
          <w:p w:rsidR="00B105AC" w:rsidRPr="00CE3FB5" w:rsidRDefault="00B105AC" w:rsidP="00800B5D">
            <w:pPr>
              <w:spacing w:before="0" w:after="0"/>
              <w:jc w:val="left"/>
              <w:rPr>
                <w:sz w:val="18"/>
                <w:szCs w:val="18"/>
              </w:rPr>
            </w:pPr>
            <w:r>
              <w:rPr>
                <w:sz w:val="18"/>
                <w:szCs w:val="18"/>
              </w:rPr>
              <w:t>Yes/No</w:t>
            </w:r>
          </w:p>
        </w:tc>
      </w:tr>
    </w:tbl>
    <w:p w:rsidR="00B105AC" w:rsidRPr="00F01C92" w:rsidRDefault="00B105AC" w:rsidP="00B105AC">
      <w:pPr>
        <w:spacing w:before="0" w:after="0"/>
        <w:jc w:val="left"/>
      </w:pPr>
    </w:p>
    <w:p w:rsidR="008C7FC4" w:rsidRDefault="008C7FC4" w:rsidP="008C7FC4"/>
    <w:p w:rsidR="00A162B0" w:rsidRDefault="00A162B0" w:rsidP="008C7FC4"/>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8C7FC4" w:rsidRDefault="008C7FC4" w:rsidP="005816BC">
      <w:pPr>
        <w:pStyle w:val="Heading1"/>
        <w:numPr>
          <w:ilvl w:val="0"/>
          <w:numId w:val="0"/>
        </w:numPr>
      </w:pPr>
      <w:bookmarkStart w:id="122" w:name="_Toc398748886"/>
      <w:r>
        <w:t xml:space="preserve">Appendix </w:t>
      </w:r>
      <w:r w:rsidR="006B0146">
        <w:t xml:space="preserve">B </w:t>
      </w:r>
      <w:r>
        <w:t>– Data Exchange Worksheet Example</w:t>
      </w:r>
      <w:bookmarkEnd w:id="122"/>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enn Pfautz" w:date="2014-08-07T11:29:00Z" w:initials="PLP">
    <w:p w:rsidR="003548D6" w:rsidRDefault="003548D6">
      <w:pPr>
        <w:pStyle w:val="CommentText"/>
      </w:pPr>
      <w:r>
        <w:rPr>
          <w:rStyle w:val="CommentReference"/>
        </w:rPr>
        <w:annotationRef/>
      </w:r>
      <w:r>
        <w:t>Alter to Technical Report</w:t>
      </w:r>
    </w:p>
  </w:comment>
  <w:comment w:id="43" w:author="Penn Pfautz" w:date="2014-07-28T14:43:00Z" w:initials="PLP">
    <w:p w:rsidR="003548D6" w:rsidRDefault="003548D6">
      <w:pPr>
        <w:pStyle w:val="CommentText"/>
      </w:pPr>
      <w:r>
        <w:rPr>
          <w:rStyle w:val="CommentReference"/>
        </w:rPr>
        <w:annotationRef/>
      </w:r>
      <w:r>
        <w:t>Should we add Normative References?</w:t>
      </w:r>
    </w:p>
  </w:comment>
  <w:comment w:id="50" w:author="Penn Pfautz" w:date="2014-08-06T08:45:00Z" w:initials="PLP">
    <w:p w:rsidR="003548D6" w:rsidRDefault="003548D6">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007" w:rsidRDefault="00652007">
      <w:r>
        <w:separator/>
      </w:r>
    </w:p>
  </w:endnote>
  <w:endnote w:type="continuationSeparator" w:id="0">
    <w:p w:rsidR="00652007" w:rsidRDefault="00652007">
      <w:r>
        <w:continuationSeparator/>
      </w:r>
    </w:p>
  </w:endnote>
  <w:endnote w:id="1">
    <w:p w:rsidR="003548D6" w:rsidRDefault="003548D6"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3548D6" w:rsidRDefault="003548D6">
        <w:pPr>
          <w:pStyle w:val="Footer"/>
        </w:pPr>
        <w:r>
          <w:fldChar w:fldCharType="begin"/>
        </w:r>
        <w:r>
          <w:instrText xml:space="preserve"> PAGE   \* MERGEFORMAT </w:instrText>
        </w:r>
        <w:r>
          <w:fldChar w:fldCharType="separate"/>
        </w:r>
        <w:r w:rsidR="005D1D40">
          <w:rPr>
            <w:noProof/>
          </w:rPr>
          <w:t>49</w:t>
        </w:r>
        <w:r>
          <w:rPr>
            <w:noProof/>
          </w:rPr>
          <w:fldChar w:fldCharType="end"/>
        </w:r>
      </w:p>
    </w:sdtContent>
  </w:sdt>
  <w:p w:rsidR="003548D6" w:rsidRDefault="003548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D6" w:rsidRDefault="003548D6">
    <w:pPr>
      <w:pStyle w:val="Footer"/>
      <w:jc w:val="center"/>
    </w:pPr>
    <w:r>
      <w:rPr>
        <w:rStyle w:val="PageNumber"/>
      </w:rPr>
      <w:fldChar w:fldCharType="begin"/>
    </w:r>
    <w:r>
      <w:rPr>
        <w:rStyle w:val="PageNumber"/>
      </w:rPr>
      <w:instrText xml:space="preserve"> PAGE </w:instrText>
    </w:r>
    <w:r>
      <w:rPr>
        <w:rStyle w:val="PageNumber"/>
      </w:rPr>
      <w:fldChar w:fldCharType="separate"/>
    </w:r>
    <w:r w:rsidR="005D1D40">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007" w:rsidRDefault="00652007">
      <w:r>
        <w:separator/>
      </w:r>
    </w:p>
  </w:footnote>
  <w:footnote w:type="continuationSeparator" w:id="0">
    <w:p w:rsidR="00652007" w:rsidRDefault="00652007">
      <w:r>
        <w:continuationSeparator/>
      </w:r>
    </w:p>
  </w:footnote>
  <w:footnote w:id="1">
    <w:p w:rsidR="003548D6" w:rsidRDefault="003548D6"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3548D6" w:rsidRDefault="003548D6"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3548D6" w:rsidRDefault="003548D6"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3548D6" w:rsidRDefault="003548D6"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3548D6" w:rsidRDefault="003548D6" w:rsidP="00611A57">
      <w:pPr>
        <w:pStyle w:val="FootnoteText"/>
      </w:pPr>
      <w:r>
        <w:rPr>
          <w:rStyle w:val="FootnoteReference"/>
        </w:rPr>
        <w:footnoteRef/>
      </w:r>
      <w:r>
        <w:t xml:space="preserve"> Use of separate Data Border Element is shown.</w:t>
      </w:r>
    </w:p>
  </w:footnote>
  <w:footnote w:id="6">
    <w:p w:rsidR="003548D6" w:rsidRDefault="003548D6"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3548D6" w:rsidRDefault="003548D6"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3548D6" w:rsidRDefault="003548D6" w:rsidP="00611A57">
      <w:r>
        <w:t>It is proposed that NS record information be populated in the VOICEURI field in the form</w:t>
      </w:r>
    </w:p>
    <w:p w:rsidR="003548D6" w:rsidRDefault="003548D6"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3548D6" w:rsidRDefault="003548D6" w:rsidP="00611A57">
      <w:pPr>
        <w:rPr>
          <w:iCs/>
          <w:lang w:val="de-DE"/>
        </w:rPr>
      </w:pPr>
      <w:r>
        <w:rPr>
          <w:iCs/>
          <w:lang w:val="de-DE"/>
        </w:rPr>
        <w:t xml:space="preserve"> (i.e., just the nameserver name as an FQDN)  as opposed to the full NS form:</w:t>
      </w:r>
    </w:p>
    <w:p w:rsidR="003548D6" w:rsidRPr="0087437B" w:rsidRDefault="003548D6" w:rsidP="00611A57">
      <w:pPr>
        <w:rPr>
          <w:i/>
        </w:rPr>
      </w:pPr>
      <w:r w:rsidRPr="001E4A78">
        <w:rPr>
          <w:i/>
          <w:lang w:val="de-DE"/>
        </w:rPr>
        <w:t>3.8.0.0.6.9.2.3.6.4.1.e164enum.net  IN NS tier2enum.</w:t>
      </w:r>
      <w:r>
        <w:rPr>
          <w:i/>
          <w:lang w:val="de-DE"/>
        </w:rPr>
        <w:t>serviceprovider</w:t>
      </w:r>
      <w:r w:rsidRPr="001E4A78">
        <w:rPr>
          <w:i/>
          <w:lang w:val="de-DE"/>
        </w:rPr>
        <w:t>.net</w:t>
      </w:r>
    </w:p>
    <w:p w:rsidR="003548D6" w:rsidRDefault="003548D6" w:rsidP="00611A57">
      <w:r>
        <w:t>The full record form would be reconstituted by the service provider for provisioning in its ENUM server. Note that an NS record or records are generally provisioned for each individual number.</w:t>
      </w:r>
    </w:p>
    <w:p w:rsidR="003548D6" w:rsidRDefault="003548D6" w:rsidP="00611A57">
      <w:r>
        <w:t>Multiple NS records could be populated in the NPAC VOICEURI field through the use of some agreed upon separator character. This would allow for redundancy as it is expected that carriers would want to have multiple name server instances.</w:t>
      </w:r>
    </w:p>
    <w:p w:rsidR="003548D6" w:rsidRDefault="003548D6" w:rsidP="00611A57">
      <w:r>
        <w:t xml:space="preserve">Note that an apex domain, for example, </w:t>
      </w:r>
      <w:r>
        <w:rPr>
          <w:i/>
        </w:rPr>
        <w:t>e164enum.</w:t>
      </w:r>
      <w:r w:rsidRPr="00B60C11">
        <w:rPr>
          <w:i/>
        </w:rPr>
        <w:t>net</w:t>
      </w:r>
      <w:r>
        <w:t>, needs to be agreed upon.</w:t>
      </w:r>
    </w:p>
    <w:p w:rsidR="003548D6" w:rsidRDefault="003548D6" w:rsidP="00611A57">
      <w:pPr>
        <w:pStyle w:val="FootnoteText"/>
      </w:pPr>
    </w:p>
  </w:footnote>
  <w:footnote w:id="8">
    <w:p w:rsidR="003548D6" w:rsidRDefault="003548D6"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3548D6" w:rsidRPr="00590EBD" w:rsidRDefault="003548D6"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3548D6" w:rsidRDefault="003548D6" w:rsidP="00611A57">
      <w:r>
        <w:t>its resolution would result in the URI</w:t>
      </w:r>
    </w:p>
    <w:p w:rsidR="003548D6" w:rsidRPr="00590EBD" w:rsidRDefault="00652007" w:rsidP="00611A57">
      <w:pPr>
        <w:rPr>
          <w:i/>
          <w:lang w:val="de-DE"/>
        </w:rPr>
      </w:pPr>
      <w:hyperlink r:id="rId1" w:history="1">
        <w:r w:rsidR="003548D6" w:rsidRPr="0066300B">
          <w:rPr>
            <w:i/>
            <w:lang w:val="de-DE"/>
          </w:rPr>
          <w:t xml:space="preserve">sip:+14632963800@gw02. </w:t>
        </w:r>
        <w:r w:rsidR="003548D6">
          <w:rPr>
            <w:i/>
            <w:lang w:val="de-DE"/>
          </w:rPr>
          <w:t>serviceprovider</w:t>
        </w:r>
        <w:r w:rsidR="003548D6" w:rsidRPr="0066300B">
          <w:rPr>
            <w:i/>
            <w:lang w:val="de-DE"/>
          </w:rPr>
          <w:t>.net</w:t>
        </w:r>
      </w:hyperlink>
      <w:r w:rsidR="003548D6" w:rsidRPr="0066300B">
        <w:rPr>
          <w:i/>
          <w:lang w:val="de-DE"/>
        </w:rPr>
        <w:t>; user=phone</w:t>
      </w:r>
    </w:p>
    <w:p w:rsidR="003548D6" w:rsidRDefault="003548D6" w:rsidP="00611A57">
      <w:r>
        <w:t xml:space="preserve">The querying service provider would then resolve the hostname </w:t>
      </w:r>
    </w:p>
    <w:p w:rsidR="003548D6" w:rsidRDefault="003548D6" w:rsidP="00611A57">
      <w:proofErr w:type="gramStart"/>
      <w:r>
        <w:rPr>
          <w:i/>
        </w:rPr>
        <w:t>gw02.</w:t>
      </w:r>
      <w:r w:rsidRPr="00907620">
        <w:rPr>
          <w:i/>
        </w:rPr>
        <w:t>serviceprovider.net</w:t>
      </w:r>
      <w:proofErr w:type="gramEnd"/>
      <w:r>
        <w:t xml:space="preserve"> to obtain an IP address for the terminating provider’s ingress SBC.  </w:t>
      </w:r>
    </w:p>
    <w:p w:rsidR="003548D6" w:rsidRDefault="003548D6" w:rsidP="00611A57">
      <w:pPr>
        <w:pStyle w:val="FootnoteText"/>
      </w:pPr>
    </w:p>
  </w:footnote>
  <w:footnote w:id="9">
    <w:p w:rsidR="003548D6" w:rsidRDefault="003548D6"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3548D6" w:rsidRDefault="003548D6"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3548D6" w:rsidRDefault="003548D6"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3548D6" w:rsidRDefault="003548D6"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D6" w:rsidRPr="00BC47C9" w:rsidRDefault="003548D6">
    <w:pPr>
      <w:ind w:right="-288"/>
      <w:jc w:val="left"/>
      <w:outlineLvl w:val="0"/>
      <w:rPr>
        <w:rFonts w:cs="Arial"/>
        <w:bCs/>
        <w:iCs/>
        <w:sz w:val="36"/>
      </w:rPr>
    </w:pPr>
    <w:r w:rsidRPr="00BC47C9">
      <w:rPr>
        <w:rFonts w:cs="Arial"/>
        <w:bCs/>
        <w:sz w:val="36"/>
        <w:highlight w:val="yellow"/>
      </w:rPr>
      <w:t>Title</w:t>
    </w:r>
  </w:p>
  <w:p w:rsidR="003548D6" w:rsidRPr="00BC47C9" w:rsidRDefault="003548D6">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E87E82"/>
    <w:multiLevelType w:val="hybridMultilevel"/>
    <w:tmpl w:val="733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E23AC"/>
    <w:multiLevelType w:val="hybridMultilevel"/>
    <w:tmpl w:val="04BA95E6"/>
    <w:lvl w:ilvl="0" w:tplc="BF6C0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8">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2">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3">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7">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8">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7">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EFC012A"/>
    <w:multiLevelType w:val="hybridMultilevel"/>
    <w:tmpl w:val="9A042E9A"/>
    <w:lvl w:ilvl="0" w:tplc="EF0E9B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49"/>
  </w:num>
  <w:num w:numId="3">
    <w:abstractNumId w:val="7"/>
  </w:num>
  <w:num w:numId="4">
    <w:abstractNumId w:val="8"/>
  </w:num>
  <w:num w:numId="5">
    <w:abstractNumId w:val="6"/>
  </w:num>
  <w:num w:numId="6">
    <w:abstractNumId w:val="5"/>
  </w:num>
  <w:num w:numId="7">
    <w:abstractNumId w:val="4"/>
  </w:num>
  <w:num w:numId="8">
    <w:abstractNumId w:val="3"/>
  </w:num>
  <w:num w:numId="9">
    <w:abstractNumId w:val="46"/>
  </w:num>
  <w:num w:numId="10">
    <w:abstractNumId w:val="2"/>
  </w:num>
  <w:num w:numId="11">
    <w:abstractNumId w:val="1"/>
  </w:num>
  <w:num w:numId="12">
    <w:abstractNumId w:val="0"/>
  </w:num>
  <w:num w:numId="13">
    <w:abstractNumId w:val="13"/>
  </w:num>
  <w:num w:numId="14">
    <w:abstractNumId w:val="32"/>
  </w:num>
  <w:num w:numId="15">
    <w:abstractNumId w:val="38"/>
  </w:num>
  <w:num w:numId="16">
    <w:abstractNumId w:val="26"/>
  </w:num>
  <w:num w:numId="17">
    <w:abstractNumId w:val="33"/>
  </w:num>
  <w:num w:numId="18">
    <w:abstractNumId w:val="9"/>
  </w:num>
  <w:num w:numId="19">
    <w:abstractNumId w:val="31"/>
  </w:num>
  <w:num w:numId="20">
    <w:abstractNumId w:val="11"/>
  </w:num>
  <w:num w:numId="21">
    <w:abstractNumId w:val="19"/>
  </w:num>
  <w:num w:numId="22">
    <w:abstractNumId w:val="24"/>
  </w:num>
  <w:num w:numId="23">
    <w:abstractNumId w:val="16"/>
  </w:num>
  <w:num w:numId="24">
    <w:abstractNumId w:val="37"/>
  </w:num>
  <w:num w:numId="25">
    <w:abstractNumId w:val="17"/>
  </w:num>
  <w:num w:numId="26">
    <w:abstractNumId w:val="21"/>
  </w:num>
  <w:num w:numId="27">
    <w:abstractNumId w:val="50"/>
  </w:num>
  <w:num w:numId="28">
    <w:abstractNumId w:val="36"/>
  </w:num>
  <w:num w:numId="29">
    <w:abstractNumId w:val="34"/>
  </w:num>
  <w:num w:numId="30">
    <w:abstractNumId w:val="14"/>
  </w:num>
  <w:num w:numId="31">
    <w:abstractNumId w:val="20"/>
  </w:num>
  <w:num w:numId="32">
    <w:abstractNumId w:val="35"/>
  </w:num>
  <w:num w:numId="33">
    <w:abstractNumId w:val="22"/>
  </w:num>
  <w:num w:numId="34">
    <w:abstractNumId w:val="47"/>
  </w:num>
  <w:num w:numId="35">
    <w:abstractNumId w:val="25"/>
  </w:num>
  <w:num w:numId="36">
    <w:abstractNumId w:val="4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9"/>
  </w:num>
  <w:num w:numId="41">
    <w:abstractNumId w:val="43"/>
  </w:num>
  <w:num w:numId="42">
    <w:abstractNumId w:val="45"/>
  </w:num>
  <w:num w:numId="43">
    <w:abstractNumId w:val="18"/>
  </w:num>
  <w:num w:numId="44">
    <w:abstractNumId w:val="30"/>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7"/>
  </w:num>
  <w:num w:numId="48">
    <w:abstractNumId w:val="12"/>
  </w:num>
  <w:num w:numId="49">
    <w:abstractNumId w:val="41"/>
  </w:num>
  <w:num w:numId="50">
    <w:abstractNumId w:val="37"/>
  </w:num>
  <w:num w:numId="51">
    <w:abstractNumId w:val="37"/>
  </w:num>
  <w:num w:numId="52">
    <w:abstractNumId w:val="37"/>
  </w:num>
  <w:num w:numId="53">
    <w:abstractNumId w:val="37"/>
  </w:num>
  <w:num w:numId="54">
    <w:abstractNumId w:val="37"/>
  </w:num>
  <w:num w:numId="55">
    <w:abstractNumId w:val="37"/>
  </w:num>
  <w:num w:numId="56">
    <w:abstractNumId w:val="10"/>
  </w:num>
  <w:num w:numId="57">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5307D"/>
    <w:rsid w:val="0006331B"/>
    <w:rsid w:val="00063333"/>
    <w:rsid w:val="00076C24"/>
    <w:rsid w:val="00077F58"/>
    <w:rsid w:val="0008295B"/>
    <w:rsid w:val="0008551C"/>
    <w:rsid w:val="00090AD4"/>
    <w:rsid w:val="00093351"/>
    <w:rsid w:val="000978AD"/>
    <w:rsid w:val="000A3F7D"/>
    <w:rsid w:val="000A7791"/>
    <w:rsid w:val="000C0028"/>
    <w:rsid w:val="000D0858"/>
    <w:rsid w:val="000D2C0A"/>
    <w:rsid w:val="000D3768"/>
    <w:rsid w:val="000D4C1C"/>
    <w:rsid w:val="000F21D8"/>
    <w:rsid w:val="000F621B"/>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5E6E"/>
    <w:rsid w:val="0018254B"/>
    <w:rsid w:val="00190DF8"/>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4DB"/>
    <w:rsid w:val="0021710E"/>
    <w:rsid w:val="002323E6"/>
    <w:rsid w:val="00233444"/>
    <w:rsid w:val="002517E0"/>
    <w:rsid w:val="00255FC8"/>
    <w:rsid w:val="002664C7"/>
    <w:rsid w:val="002732AD"/>
    <w:rsid w:val="00273346"/>
    <w:rsid w:val="00277FAC"/>
    <w:rsid w:val="0028698C"/>
    <w:rsid w:val="00296A6A"/>
    <w:rsid w:val="002A7CA2"/>
    <w:rsid w:val="002B0F29"/>
    <w:rsid w:val="002B7015"/>
    <w:rsid w:val="002C052B"/>
    <w:rsid w:val="002C2742"/>
    <w:rsid w:val="002C2ECA"/>
    <w:rsid w:val="002C4900"/>
    <w:rsid w:val="002C538A"/>
    <w:rsid w:val="002E347A"/>
    <w:rsid w:val="002F668C"/>
    <w:rsid w:val="00300712"/>
    <w:rsid w:val="00302633"/>
    <w:rsid w:val="00305131"/>
    <w:rsid w:val="00305336"/>
    <w:rsid w:val="00306E7F"/>
    <w:rsid w:val="00310B41"/>
    <w:rsid w:val="00312C9B"/>
    <w:rsid w:val="0031789B"/>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5D91"/>
    <w:rsid w:val="00401CDC"/>
    <w:rsid w:val="00405743"/>
    <w:rsid w:val="00412EEE"/>
    <w:rsid w:val="00414F7F"/>
    <w:rsid w:val="00421584"/>
    <w:rsid w:val="00422B43"/>
    <w:rsid w:val="00424AF1"/>
    <w:rsid w:val="00441D40"/>
    <w:rsid w:val="0044677B"/>
    <w:rsid w:val="00450804"/>
    <w:rsid w:val="00456C67"/>
    <w:rsid w:val="004603E7"/>
    <w:rsid w:val="004614C5"/>
    <w:rsid w:val="0047081B"/>
    <w:rsid w:val="00470E57"/>
    <w:rsid w:val="0047106F"/>
    <w:rsid w:val="004743FF"/>
    <w:rsid w:val="0048466D"/>
    <w:rsid w:val="00486467"/>
    <w:rsid w:val="00486882"/>
    <w:rsid w:val="00497F94"/>
    <w:rsid w:val="004A2AD0"/>
    <w:rsid w:val="004A2B05"/>
    <w:rsid w:val="004B18DC"/>
    <w:rsid w:val="004B1DDC"/>
    <w:rsid w:val="004B443F"/>
    <w:rsid w:val="004B5F1C"/>
    <w:rsid w:val="004C4F9B"/>
    <w:rsid w:val="004D1099"/>
    <w:rsid w:val="004E253F"/>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2A57"/>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EA4"/>
    <w:rsid w:val="00681DF0"/>
    <w:rsid w:val="006859A6"/>
    <w:rsid w:val="00686C71"/>
    <w:rsid w:val="00687F16"/>
    <w:rsid w:val="006A4A51"/>
    <w:rsid w:val="006B0146"/>
    <w:rsid w:val="006B4FB4"/>
    <w:rsid w:val="006C0A54"/>
    <w:rsid w:val="006C1F3D"/>
    <w:rsid w:val="006C268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739FA"/>
    <w:rsid w:val="00775153"/>
    <w:rsid w:val="00775FD7"/>
    <w:rsid w:val="00786C2C"/>
    <w:rsid w:val="007957AE"/>
    <w:rsid w:val="007968BB"/>
    <w:rsid w:val="007A281D"/>
    <w:rsid w:val="007B39DB"/>
    <w:rsid w:val="007B6D84"/>
    <w:rsid w:val="007C5D6B"/>
    <w:rsid w:val="007C7E0E"/>
    <w:rsid w:val="007D10C6"/>
    <w:rsid w:val="007D23CF"/>
    <w:rsid w:val="007D5EEC"/>
    <w:rsid w:val="007D7BDB"/>
    <w:rsid w:val="007E23D3"/>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6DDC"/>
    <w:rsid w:val="009231A6"/>
    <w:rsid w:val="009336C8"/>
    <w:rsid w:val="009435F2"/>
    <w:rsid w:val="0094655E"/>
    <w:rsid w:val="009541E7"/>
    <w:rsid w:val="009634D2"/>
    <w:rsid w:val="00976509"/>
    <w:rsid w:val="00987D79"/>
    <w:rsid w:val="00992E21"/>
    <w:rsid w:val="009A15F0"/>
    <w:rsid w:val="009A6EC3"/>
    <w:rsid w:val="009A7AB7"/>
    <w:rsid w:val="009B1379"/>
    <w:rsid w:val="009B327A"/>
    <w:rsid w:val="009B65E1"/>
    <w:rsid w:val="009C14C0"/>
    <w:rsid w:val="009D7367"/>
    <w:rsid w:val="009D785E"/>
    <w:rsid w:val="009F0886"/>
    <w:rsid w:val="009F1A26"/>
    <w:rsid w:val="009F1D00"/>
    <w:rsid w:val="00A0347C"/>
    <w:rsid w:val="00A036DE"/>
    <w:rsid w:val="00A03C0B"/>
    <w:rsid w:val="00A05A7E"/>
    <w:rsid w:val="00A10119"/>
    <w:rsid w:val="00A13CC4"/>
    <w:rsid w:val="00A162B0"/>
    <w:rsid w:val="00A3584C"/>
    <w:rsid w:val="00A36E9D"/>
    <w:rsid w:val="00A421DF"/>
    <w:rsid w:val="00A43DEE"/>
    <w:rsid w:val="00A50422"/>
    <w:rsid w:val="00A50A14"/>
    <w:rsid w:val="00A777E2"/>
    <w:rsid w:val="00A84A87"/>
    <w:rsid w:val="00A84BB0"/>
    <w:rsid w:val="00A8667A"/>
    <w:rsid w:val="00A97DDE"/>
    <w:rsid w:val="00AA5D37"/>
    <w:rsid w:val="00AC2622"/>
    <w:rsid w:val="00AC5D4C"/>
    <w:rsid w:val="00AD157B"/>
    <w:rsid w:val="00AE5F88"/>
    <w:rsid w:val="00AF138E"/>
    <w:rsid w:val="00B00EEA"/>
    <w:rsid w:val="00B0481C"/>
    <w:rsid w:val="00B105AC"/>
    <w:rsid w:val="00B16394"/>
    <w:rsid w:val="00B26868"/>
    <w:rsid w:val="00B3149D"/>
    <w:rsid w:val="00B372BF"/>
    <w:rsid w:val="00B46A76"/>
    <w:rsid w:val="00B52EF7"/>
    <w:rsid w:val="00B536A9"/>
    <w:rsid w:val="00B537A9"/>
    <w:rsid w:val="00B57BC1"/>
    <w:rsid w:val="00B61E0E"/>
    <w:rsid w:val="00B62809"/>
    <w:rsid w:val="00B6596C"/>
    <w:rsid w:val="00B65FB1"/>
    <w:rsid w:val="00B74566"/>
    <w:rsid w:val="00B80F13"/>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7203"/>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0AF0"/>
    <w:rsid w:val="00D34C98"/>
    <w:rsid w:val="00D51FD9"/>
    <w:rsid w:val="00D55782"/>
    <w:rsid w:val="00D5748A"/>
    <w:rsid w:val="00D70AA6"/>
    <w:rsid w:val="00D75B38"/>
    <w:rsid w:val="00D76A74"/>
    <w:rsid w:val="00D803CF"/>
    <w:rsid w:val="00D82162"/>
    <w:rsid w:val="00D821EF"/>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E180F"/>
    <w:rsid w:val="00EE189D"/>
    <w:rsid w:val="00EE4431"/>
    <w:rsid w:val="00EE670E"/>
    <w:rsid w:val="00EF1BA0"/>
    <w:rsid w:val="00EF5160"/>
    <w:rsid w:val="00F01C92"/>
    <w:rsid w:val="00F054E2"/>
    <w:rsid w:val="00F060E4"/>
    <w:rsid w:val="00F11B17"/>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wmf"/><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sip:+13036614567@example.mso-a.com;user=phon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sip:+13036614567@example.mso-a.com;user=phone"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sip:+13036614567@example.mso-a.com;user=phon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1E0A2-7DCF-4F7D-A4DF-2B30EE2A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16654</Words>
  <Characters>94928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111360</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4</cp:revision>
  <cp:lastPrinted>2014-09-08T12:50:00Z</cp:lastPrinted>
  <dcterms:created xsi:type="dcterms:W3CDTF">2014-09-18T04:32:00Z</dcterms:created>
  <dcterms:modified xsi:type="dcterms:W3CDTF">2014-09-18T10:34:00Z</dcterms:modified>
</cp:coreProperties>
</file>