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D7E" w:rsidRPr="002B2C7C" w:rsidRDefault="00E20D7E" w:rsidP="00E20D7E">
      <w:pPr>
        <w:autoSpaceDE w:val="0"/>
        <w:autoSpaceDN w:val="0"/>
        <w:adjustRightInd w:val="0"/>
        <w:ind w:right="20"/>
        <w:jc w:val="center"/>
      </w:pPr>
      <w:bookmarkStart w:id="0" w:name="_Toc378315530"/>
      <w:r>
        <w:rPr>
          <w:b/>
          <w:bCs/>
          <w:color w:val="000000"/>
        </w:rPr>
        <w:t>Contribution</w:t>
      </w:r>
      <w:r w:rsidRPr="002B2C7C">
        <w:rPr>
          <w:b/>
          <w:bCs/>
          <w:color w:val="000000"/>
        </w:rPr>
        <w:t xml:space="preserve"> </w:t>
      </w:r>
    </w:p>
    <w:p w:rsidR="00E20D7E" w:rsidRPr="00180049" w:rsidRDefault="00E20D7E" w:rsidP="00E20D7E">
      <w:r w:rsidRPr="00180049">
        <w:rPr>
          <w:b/>
          <w:bCs/>
          <w:color w:val="000000"/>
        </w:rPr>
        <w:t>TITLE:</w:t>
      </w:r>
      <w:r w:rsidRPr="00180049">
        <w:rPr>
          <w:bCs/>
          <w:color w:val="000000"/>
        </w:rPr>
        <w:t xml:space="preserve"> </w:t>
      </w:r>
      <w:r w:rsidR="003E409C">
        <w:t xml:space="preserve">New </w:t>
      </w:r>
      <w:r w:rsidR="00BB5DE7">
        <w:t>sub-section</w:t>
      </w:r>
      <w:r w:rsidR="00BB5DE7" w:rsidRPr="00180049">
        <w:t xml:space="preserve"> </w:t>
      </w:r>
      <w:r w:rsidRPr="00180049">
        <w:t xml:space="preserve">for </w:t>
      </w:r>
      <w:r>
        <w:t xml:space="preserve">current </w:t>
      </w:r>
      <w:r w:rsidRPr="00180049">
        <w:t>Section</w:t>
      </w:r>
      <w:r w:rsidR="003E409C">
        <w:t xml:space="preserve"> 5</w:t>
      </w:r>
      <w:r w:rsidR="003E409C" w:rsidRPr="00180049">
        <w:t xml:space="preserve"> </w:t>
      </w:r>
      <w:r w:rsidRPr="00180049">
        <w:t xml:space="preserve">of the IP Interconnection Routing document </w:t>
      </w:r>
      <w:r>
        <w:t>(IPNNI-2014-</w:t>
      </w:r>
      <w:bookmarkStart w:id="1" w:name="_Toc390334406"/>
      <w:r w:rsidR="00BB5DE7">
        <w:t>00083</w:t>
      </w:r>
      <w:r w:rsidR="00BB5DE7" w:rsidRPr="00180049">
        <w:t>R</w:t>
      </w:r>
      <w:r w:rsidR="00BB5DE7">
        <w:t xml:space="preserve">007 </w:t>
      </w:r>
      <w:r>
        <w:t>– clean version</w:t>
      </w:r>
      <w:r w:rsidRPr="00180049">
        <w:t>), entitled “</w:t>
      </w:r>
      <w:r w:rsidR="003E409C">
        <w:t>Per-TN Overview and Approaches</w:t>
      </w:r>
      <w:r>
        <w:t>”,</w:t>
      </w:r>
      <w:r w:rsidRPr="00180049">
        <w:t xml:space="preserve"> </w:t>
      </w:r>
      <w:bookmarkEnd w:id="1"/>
      <w:r w:rsidRPr="00180049">
        <w:t xml:space="preserve">which discusses </w:t>
      </w:r>
      <w:r w:rsidR="003E409C">
        <w:t>how service providers can support more molecular routing than that based on NANP aggregation elements as discussed in the previous section.</w:t>
      </w:r>
      <w:r w:rsidR="003E409C" w:rsidRPr="00180049">
        <w:t xml:space="preserve"> </w:t>
      </w:r>
      <w:r>
        <w:t>The following</w:t>
      </w:r>
      <w:r w:rsidR="003E409C">
        <w:t xml:space="preserve"> is new</w:t>
      </w:r>
      <w:r>
        <w:t xml:space="preserve"> text </w:t>
      </w:r>
      <w:r w:rsidR="003E409C">
        <w:t>and proposed to be a new sub-section between current sub-section</w:t>
      </w:r>
      <w:r w:rsidR="00366D2B">
        <w:t>s</w:t>
      </w:r>
      <w:r w:rsidR="003E409C">
        <w:t xml:space="preserve"> 5.2 and 5.3</w:t>
      </w:r>
      <w:r>
        <w:t>.</w:t>
      </w:r>
    </w:p>
    <w:p w:rsidR="00E20D7E" w:rsidRPr="0012376A" w:rsidRDefault="00E20D7E" w:rsidP="00E20D7E">
      <w:r w:rsidRPr="00165923">
        <w:rPr>
          <w:b/>
          <w:bCs/>
          <w:color w:val="000000"/>
        </w:rPr>
        <w:t>SOURCE*:</w:t>
      </w:r>
      <w:r>
        <w:rPr>
          <w:b/>
          <w:bCs/>
          <w:color w:val="000000"/>
        </w:rPr>
        <w:t xml:space="preserve"> </w:t>
      </w:r>
      <w:r w:rsidRPr="001F76D3">
        <w:rPr>
          <w:bCs/>
          <w:color w:val="000000"/>
        </w:rPr>
        <w:t>Neustar</w:t>
      </w:r>
    </w:p>
    <w:p w:rsidR="00E20D7E" w:rsidRPr="00E718CC" w:rsidRDefault="00E20D7E" w:rsidP="00E20D7E">
      <w:pPr>
        <w:autoSpaceDE w:val="0"/>
        <w:autoSpaceDN w:val="0"/>
        <w:adjustRightInd w:val="0"/>
        <w:ind w:right="20"/>
        <w:jc w:val="center"/>
      </w:pPr>
      <w:r w:rsidRPr="00165923">
        <w:rPr>
          <w:b/>
          <w:bCs/>
          <w:color w:val="000000"/>
        </w:rPr>
        <w:t xml:space="preserve">_______________________________ </w:t>
      </w:r>
    </w:p>
    <w:p w:rsidR="00E20D7E" w:rsidRPr="00E718CC" w:rsidRDefault="00E20D7E" w:rsidP="00E20D7E">
      <w:pPr>
        <w:autoSpaceDE w:val="0"/>
        <w:autoSpaceDN w:val="0"/>
        <w:adjustRightInd w:val="0"/>
        <w:ind w:right="20"/>
        <w:jc w:val="center"/>
      </w:pPr>
      <w:r w:rsidRPr="00165923">
        <w:rPr>
          <w:b/>
          <w:bCs/>
          <w:color w:val="000000"/>
        </w:rPr>
        <w:t xml:space="preserve">ABSTRACT </w:t>
      </w:r>
    </w:p>
    <w:p w:rsidR="00E20D7E" w:rsidRPr="001C73B5" w:rsidRDefault="00E20D7E" w:rsidP="00E20D7E">
      <w:r>
        <w:t xml:space="preserve">Section </w:t>
      </w:r>
      <w:r w:rsidR="00366D2B">
        <w:t xml:space="preserve">5 </w:t>
      </w:r>
      <w:r>
        <w:t xml:space="preserve">of the Interconnection Routing document currently </w:t>
      </w:r>
      <w:r w:rsidR="00366D2B">
        <w:t xml:space="preserve">discusses how service providers can support more molecular routing than that based on NANP aggregation elements as discussed in Section 4.  Sections 5.1 and 5.2 propose how the industry NPAC can be used to support either SIP URI records or NS records depending on the desired role.  </w:t>
      </w:r>
      <w:r>
        <w:t xml:space="preserve">This contribution provides </w:t>
      </w:r>
      <w:r w:rsidR="00366D2B">
        <w:t xml:space="preserve">a </w:t>
      </w:r>
      <w:r w:rsidR="00BB5DE7">
        <w:t xml:space="preserve">per-TN routing </w:t>
      </w:r>
      <w:r w:rsidR="00366D2B">
        <w:t xml:space="preserve">solution approach </w:t>
      </w:r>
      <w:r w:rsidR="006C6FAC">
        <w:t xml:space="preserve">for service providers </w:t>
      </w:r>
      <w:r w:rsidR="00BB5DE7">
        <w:t>if</w:t>
      </w:r>
      <w:r w:rsidR="00366D2B">
        <w:t xml:space="preserve"> </w:t>
      </w:r>
      <w:r w:rsidR="00B26507">
        <w:t>their existing</w:t>
      </w:r>
      <w:r w:rsidR="00366D2B">
        <w:t xml:space="preserve"> SOA</w:t>
      </w:r>
      <w:r w:rsidR="00B26507">
        <w:t xml:space="preserve"> (or equivalent)</w:t>
      </w:r>
      <w:r w:rsidR="00366D2B">
        <w:t xml:space="preserve"> and</w:t>
      </w:r>
      <w:r w:rsidR="00B26507">
        <w:t>/or</w:t>
      </w:r>
      <w:r w:rsidR="00366D2B">
        <w:t xml:space="preserve"> LSMS </w:t>
      </w:r>
      <w:r w:rsidR="00B26507">
        <w:t xml:space="preserve">(or equivalent) </w:t>
      </w:r>
      <w:r w:rsidR="00BB5DE7">
        <w:t>do not yet support</w:t>
      </w:r>
      <w:r w:rsidR="00366D2B">
        <w:t xml:space="preserve"> </w:t>
      </w:r>
      <w:r w:rsidR="00B26507">
        <w:t xml:space="preserve">the two previously approved </w:t>
      </w:r>
      <w:r w:rsidR="004E424A">
        <w:t>NANC change o</w:t>
      </w:r>
      <w:r w:rsidR="00366D2B">
        <w:t>rders</w:t>
      </w:r>
      <w:r w:rsidR="006C6FAC">
        <w:t xml:space="preserve"> that are required</w:t>
      </w:r>
      <w:r w:rsidR="00366D2B">
        <w:t>. It</w:t>
      </w:r>
      <w:r>
        <w:t xml:space="preserve"> builds on other commercial services that have been in place for more than five years, primarily in the support of ubiquitous, industry SMS routing</w:t>
      </w:r>
      <w:r w:rsidR="00366D2B">
        <w:t>.</w:t>
      </w:r>
    </w:p>
    <w:p w:rsidR="00E20D7E" w:rsidRPr="00F235D9" w:rsidRDefault="00E20D7E" w:rsidP="00E20D7E">
      <w:pPr>
        <w:adjustRightInd w:val="0"/>
        <w:jc w:val="center"/>
        <w:rPr>
          <w:rFonts w:eastAsia="SimSun"/>
          <w:b/>
          <w:color w:val="000000"/>
          <w:u w:val="single"/>
          <w:lang w:eastAsia="zh-CN" w:bidi="he-IL"/>
        </w:rPr>
      </w:pPr>
      <w:r w:rsidRPr="00F235D9">
        <w:rPr>
          <w:rFonts w:eastAsia="SimSun"/>
          <w:b/>
          <w:color w:val="000000"/>
          <w:u w:val="single"/>
          <w:lang w:eastAsia="zh-CN" w:bidi="he-IL"/>
        </w:rPr>
        <w:t>NOTICE</w:t>
      </w:r>
    </w:p>
    <w:p w:rsidR="00E20D7E" w:rsidRPr="00165923" w:rsidRDefault="00E20D7E" w:rsidP="00E20D7E">
      <w:pPr>
        <w:adjustRightInd w:val="0"/>
        <w:rPr>
          <w:rFonts w:eastAsia="SimSun"/>
          <w:color w:val="000000"/>
          <w:lang w:eastAsia="zh-CN" w:bidi="he-IL"/>
        </w:rPr>
      </w:pPr>
      <w:r>
        <w:rPr>
          <w:rFonts w:eastAsia="SimSun"/>
          <w:b/>
          <w:color w:val="000000"/>
          <w:lang w:eastAsia="zh-CN" w:bidi="he-IL"/>
        </w:rPr>
        <w:t>_____________________________________________________________________________________________</w:t>
      </w:r>
    </w:p>
    <w:p w:rsidR="00E20D7E" w:rsidRPr="00E17A45" w:rsidRDefault="00E20D7E" w:rsidP="00E20D7E">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E20D7E" w:rsidRPr="00165923" w:rsidRDefault="00E20D7E" w:rsidP="00E20D7E">
      <w:pPr>
        <w:pBdr>
          <w:bottom w:val="single" w:sz="4" w:space="1" w:color="auto"/>
        </w:pBdr>
        <w:adjustRightInd w:val="0"/>
        <w:rPr>
          <w:rFonts w:eastAsia="SimSun"/>
          <w:color w:val="000000"/>
          <w:lang w:eastAsia="zh-CN" w:bidi="he-IL"/>
        </w:rPr>
      </w:pPr>
    </w:p>
    <w:p w:rsidR="00E20D7E" w:rsidRPr="00F53707" w:rsidRDefault="00E20D7E" w:rsidP="00E20D7E">
      <w:pPr>
        <w:rPr>
          <w:rFonts w:eastAsia="SimSun"/>
          <w:color w:val="000000"/>
          <w:lang w:eastAsia="zh-CN" w:bidi="he-IL"/>
        </w:rPr>
      </w:pPr>
      <w:r w:rsidRPr="00F53707">
        <w:rPr>
          <w:rFonts w:eastAsia="SimSun"/>
          <w:color w:val="000000"/>
          <w:lang w:eastAsia="zh-CN" w:bidi="he-IL"/>
        </w:rPr>
        <w:t xml:space="preserve">* CONTACT: Ken Politz, Neustar, </w:t>
      </w:r>
      <w:hyperlink r:id="rId8" w:history="1">
        <w:r w:rsidRPr="00F53707">
          <w:rPr>
            <w:rStyle w:val="Hyperlink"/>
            <w:rFonts w:eastAsia="SimSun"/>
            <w:lang w:eastAsia="zh-CN" w:bidi="he-IL"/>
          </w:rPr>
          <w:t>ken.politz@neustar.biz</w:t>
        </w:r>
      </w:hyperlink>
      <w:r w:rsidRPr="00F53707">
        <w:rPr>
          <w:rFonts w:eastAsia="SimSun"/>
          <w:color w:val="000000"/>
          <w:lang w:eastAsia="zh-CN" w:bidi="he-IL"/>
        </w:rPr>
        <w:t>, 732-939-1895</w:t>
      </w:r>
    </w:p>
    <w:p w:rsidR="00E20D7E" w:rsidRDefault="00E20D7E">
      <w:pPr>
        <w:spacing w:before="0" w:after="0"/>
        <w:jc w:val="left"/>
        <w:rPr>
          <w:rFonts w:eastAsia="SimSun"/>
          <w:b/>
          <w:color w:val="000000"/>
          <w:lang w:eastAsia="zh-CN" w:bidi="he-IL"/>
        </w:rPr>
      </w:pPr>
      <w:r>
        <w:rPr>
          <w:rFonts w:eastAsia="SimSun"/>
          <w:b/>
          <w:color w:val="000000"/>
          <w:lang w:eastAsia="zh-CN" w:bidi="he-IL"/>
        </w:rPr>
        <w:br w:type="page"/>
      </w:r>
    </w:p>
    <w:p w:rsidR="001E628E" w:rsidRDefault="00205B86" w:rsidP="001E628E">
      <w:pPr>
        <w:pStyle w:val="Heading2"/>
        <w:numPr>
          <w:ilvl w:val="1"/>
          <w:numId w:val="52"/>
        </w:numPr>
        <w:ind w:left="630" w:hanging="630"/>
      </w:pPr>
      <w:r>
        <w:lastRenderedPageBreak/>
        <w:t>NPAC TN Registry</w:t>
      </w:r>
    </w:p>
    <w:p w:rsidR="000947FA" w:rsidRDefault="004F11E8" w:rsidP="000947FA">
      <w:pPr>
        <w:pStyle w:val="Heading2"/>
        <w:numPr>
          <w:ilvl w:val="1"/>
          <w:numId w:val="52"/>
        </w:numPr>
        <w:ind w:left="630" w:hanging="630"/>
      </w:pPr>
      <w:r>
        <w:t>The NPAC as a Tier 1 ENUM Registry</w:t>
      </w:r>
    </w:p>
    <w:p w:rsidR="000947FA" w:rsidRDefault="005104E4" w:rsidP="000947FA">
      <w:pPr>
        <w:pStyle w:val="Heading2"/>
        <w:numPr>
          <w:ilvl w:val="1"/>
          <w:numId w:val="52"/>
        </w:numPr>
        <w:ind w:left="630" w:hanging="630"/>
      </w:pPr>
      <w:r>
        <w:t xml:space="preserve">Utilizing the NPAC Registry with </w:t>
      </w:r>
      <w:r w:rsidR="002912AF">
        <w:t xml:space="preserve">Non-compliant SOA and </w:t>
      </w:r>
      <w:r>
        <w:t xml:space="preserve">LSMS </w:t>
      </w:r>
    </w:p>
    <w:p w:rsidR="001E628E" w:rsidRDefault="00E20D7E" w:rsidP="001E628E">
      <w:pPr>
        <w:pStyle w:val="Heading3"/>
        <w:numPr>
          <w:ilvl w:val="2"/>
          <w:numId w:val="52"/>
        </w:numPr>
        <w:ind w:left="810" w:hanging="810"/>
      </w:pPr>
      <w:bookmarkStart w:id="2" w:name="_GoBack"/>
      <w:bookmarkStart w:id="3" w:name="_MON_1205733250"/>
      <w:bookmarkStart w:id="4" w:name="_Toc395175448"/>
      <w:bookmarkStart w:id="5" w:name="_Toc395175713"/>
      <w:bookmarkStart w:id="6" w:name="_Toc395175795"/>
      <w:bookmarkStart w:id="7" w:name="_Toc395179092"/>
      <w:bookmarkStart w:id="8" w:name="_Toc395175449"/>
      <w:bookmarkStart w:id="9" w:name="_Toc395175714"/>
      <w:bookmarkStart w:id="10" w:name="_Toc395175796"/>
      <w:bookmarkStart w:id="11" w:name="_Toc395179093"/>
      <w:bookmarkStart w:id="12" w:name="_Toc395519214"/>
      <w:bookmarkEnd w:id="0"/>
      <w:bookmarkEnd w:id="2"/>
      <w:bookmarkEnd w:id="3"/>
      <w:bookmarkEnd w:id="4"/>
      <w:bookmarkEnd w:id="5"/>
      <w:bookmarkEnd w:id="6"/>
      <w:bookmarkEnd w:id="7"/>
      <w:bookmarkEnd w:id="8"/>
      <w:bookmarkEnd w:id="9"/>
      <w:bookmarkEnd w:id="10"/>
      <w:bookmarkEnd w:id="11"/>
      <w:r w:rsidRPr="00F63F04">
        <w:t>Overview</w:t>
      </w:r>
      <w:bookmarkEnd w:id="12"/>
    </w:p>
    <w:p w:rsidR="00E20D7E" w:rsidRDefault="00E20D7E" w:rsidP="00E20D7E">
      <w:pPr>
        <w:pStyle w:val="BodyText"/>
        <w:jc w:val="left"/>
        <w:rPr>
          <w:b w:val="0"/>
          <w:sz w:val="20"/>
        </w:rPr>
      </w:pPr>
      <w:r w:rsidRPr="000978AD">
        <w:rPr>
          <w:b w:val="0"/>
          <w:sz w:val="20"/>
        </w:rPr>
        <w:t xml:space="preserve">The </w:t>
      </w:r>
      <w:r>
        <w:rPr>
          <w:b w:val="0"/>
          <w:sz w:val="20"/>
        </w:rPr>
        <w:t>solution</w:t>
      </w:r>
      <w:r w:rsidRPr="000978AD">
        <w:rPr>
          <w:b w:val="0"/>
          <w:sz w:val="20"/>
        </w:rPr>
        <w:t xml:space="preserve"> introduced in this section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industry NPAC</w:t>
      </w:r>
      <w:r>
        <w:rPr>
          <w:b w:val="0"/>
          <w:sz w:val="20"/>
        </w:rPr>
        <w:t xml:space="preserve"> and distributing it at a per-TN level for consumption by any authorized service provider</w:t>
      </w:r>
      <w:r w:rsidR="00095E95">
        <w:rPr>
          <w:b w:val="0"/>
          <w:sz w:val="20"/>
        </w:rPr>
        <w:t xml:space="preserve"> where their existing </w:t>
      </w:r>
      <w:r w:rsidR="004E74E7">
        <w:rPr>
          <w:b w:val="0"/>
          <w:sz w:val="20"/>
        </w:rPr>
        <w:t xml:space="preserve">Service Order </w:t>
      </w:r>
      <w:r w:rsidR="006E07FE">
        <w:rPr>
          <w:b w:val="0"/>
          <w:sz w:val="20"/>
        </w:rPr>
        <w:t>Activation</w:t>
      </w:r>
      <w:r w:rsidR="004E74E7">
        <w:rPr>
          <w:b w:val="0"/>
          <w:sz w:val="20"/>
        </w:rPr>
        <w:t xml:space="preserve"> (</w:t>
      </w:r>
      <w:r w:rsidR="00095E95">
        <w:rPr>
          <w:b w:val="0"/>
          <w:sz w:val="20"/>
        </w:rPr>
        <w:t>SOA</w:t>
      </w:r>
      <w:r w:rsidR="004E74E7">
        <w:rPr>
          <w:b w:val="0"/>
          <w:sz w:val="20"/>
        </w:rPr>
        <w:t xml:space="preserve">) </w:t>
      </w:r>
      <w:r w:rsidR="00A724D1">
        <w:rPr>
          <w:b w:val="0"/>
          <w:sz w:val="20"/>
        </w:rPr>
        <w:t xml:space="preserve">and/or </w:t>
      </w:r>
      <w:r w:rsidR="004E74E7">
        <w:rPr>
          <w:b w:val="0"/>
          <w:sz w:val="20"/>
        </w:rPr>
        <w:t>Local Service Management System (</w:t>
      </w:r>
      <w:r w:rsidR="00095E95">
        <w:rPr>
          <w:b w:val="0"/>
          <w:sz w:val="20"/>
        </w:rPr>
        <w:t>LSMS</w:t>
      </w:r>
      <w:r w:rsidR="004E74E7">
        <w:rPr>
          <w:b w:val="0"/>
          <w:sz w:val="20"/>
        </w:rPr>
        <w:t>)</w:t>
      </w:r>
      <w:r w:rsidR="00A724D1">
        <w:rPr>
          <w:b w:val="0"/>
          <w:sz w:val="20"/>
        </w:rPr>
        <w:t xml:space="preserve"> </w:t>
      </w:r>
      <w:r w:rsidR="005D3ACE">
        <w:rPr>
          <w:b w:val="0"/>
          <w:sz w:val="20"/>
        </w:rPr>
        <w:t>do not yet support</w:t>
      </w:r>
      <w:r w:rsidR="00A724D1">
        <w:rPr>
          <w:b w:val="0"/>
          <w:sz w:val="20"/>
        </w:rPr>
        <w:t xml:space="preserve"> the</w:t>
      </w:r>
      <w:r w:rsidR="00095E95">
        <w:rPr>
          <w:b w:val="0"/>
          <w:sz w:val="20"/>
        </w:rPr>
        <w:t xml:space="preserve"> previously approved NANC change orders</w:t>
      </w:r>
      <w:r w:rsidR="005D3ACE">
        <w:rPr>
          <w:b w:val="0"/>
          <w:sz w:val="20"/>
        </w:rPr>
        <w:t xml:space="preserve"> that are required</w:t>
      </w:r>
      <w:r w:rsidR="00095E95">
        <w:rPr>
          <w:b w:val="0"/>
          <w:sz w:val="20"/>
        </w:rPr>
        <w:t>.</w:t>
      </w:r>
    </w:p>
    <w:p w:rsidR="00ED44EE" w:rsidRDefault="00ED44EE" w:rsidP="00ED44EE">
      <w:pPr>
        <w:pStyle w:val="Heading3"/>
        <w:numPr>
          <w:ilvl w:val="2"/>
          <w:numId w:val="52"/>
        </w:numPr>
        <w:ind w:left="810" w:hanging="810"/>
      </w:pPr>
      <w:r>
        <w:t>High Level Description</w:t>
      </w:r>
    </w:p>
    <w:p w:rsidR="004A50C1" w:rsidRDefault="001E628E" w:rsidP="006E07FE">
      <w:pPr>
        <w:pStyle w:val="BodyText"/>
        <w:spacing w:before="0" w:after="0"/>
        <w:jc w:val="left"/>
        <w:rPr>
          <w:b w:val="0"/>
          <w:sz w:val="20"/>
        </w:rPr>
      </w:pPr>
      <w:r w:rsidRPr="001E628E">
        <w:rPr>
          <w:rFonts w:cs="Arial"/>
          <w:b w:val="0"/>
          <w:bCs/>
          <w:sz w:val="20"/>
        </w:rPr>
        <w:t>SOA</w:t>
      </w:r>
      <w:r w:rsidR="00D3343A">
        <w:rPr>
          <w:rFonts w:cs="Arial"/>
          <w:b w:val="0"/>
          <w:bCs/>
          <w:sz w:val="20"/>
        </w:rPr>
        <w:t xml:space="preserve"> is </w:t>
      </w:r>
      <w:r w:rsidRPr="001E628E">
        <w:rPr>
          <w:rFonts w:cs="Arial"/>
          <w:b w:val="0"/>
          <w:bCs/>
          <w:sz w:val="20"/>
        </w:rPr>
        <w:t xml:space="preserve">one of several ways to provision routing data into the industry NPAC.  In addition to multiple third party SOA options, there are other ways to </w:t>
      </w:r>
      <w:r w:rsidR="00EB7B23">
        <w:rPr>
          <w:rFonts w:cs="Arial"/>
          <w:b w:val="0"/>
          <w:bCs/>
          <w:sz w:val="20"/>
        </w:rPr>
        <w:t xml:space="preserve">directly </w:t>
      </w:r>
      <w:r w:rsidRPr="001E628E">
        <w:rPr>
          <w:rFonts w:cs="Arial"/>
          <w:b w:val="0"/>
          <w:bCs/>
          <w:sz w:val="20"/>
        </w:rPr>
        <w:t xml:space="preserve">provision routing data into the NPAC or indirectly </w:t>
      </w:r>
      <w:r w:rsidR="00BC774C">
        <w:rPr>
          <w:rFonts w:cs="Arial"/>
          <w:b w:val="0"/>
          <w:bCs/>
          <w:sz w:val="20"/>
        </w:rPr>
        <w:t xml:space="preserve">provision data </w:t>
      </w:r>
      <w:r w:rsidRPr="001E628E">
        <w:rPr>
          <w:rFonts w:cs="Arial"/>
          <w:b w:val="0"/>
          <w:bCs/>
          <w:sz w:val="20"/>
        </w:rPr>
        <w:t xml:space="preserve">through a Service Bureau entity.  </w:t>
      </w:r>
      <w:r w:rsidR="006E07FE">
        <w:rPr>
          <w:rFonts w:cs="Arial"/>
          <w:b w:val="0"/>
          <w:bCs/>
          <w:sz w:val="20"/>
        </w:rPr>
        <w:t xml:space="preserve">For the remainder of this solution description, a </w:t>
      </w:r>
      <w:r w:rsidR="004A50C1">
        <w:rPr>
          <w:b w:val="0"/>
          <w:sz w:val="20"/>
        </w:rPr>
        <w:t>compliant</w:t>
      </w:r>
      <w:r w:rsidR="00D3343A">
        <w:rPr>
          <w:b w:val="0"/>
          <w:sz w:val="20"/>
        </w:rPr>
        <w:t xml:space="preserve"> SOA</w:t>
      </w:r>
      <w:r w:rsidR="006E07FE">
        <w:rPr>
          <w:b w:val="0"/>
          <w:sz w:val="20"/>
        </w:rPr>
        <w:t xml:space="preserve"> </w:t>
      </w:r>
      <w:r w:rsidR="004A50C1">
        <w:rPr>
          <w:b w:val="0"/>
          <w:sz w:val="20"/>
        </w:rPr>
        <w:t>(</w:t>
      </w:r>
      <w:r w:rsidR="006E07FE">
        <w:rPr>
          <w:b w:val="0"/>
          <w:sz w:val="20"/>
        </w:rPr>
        <w:t>or equivalent</w:t>
      </w:r>
      <w:r w:rsidR="004A50C1">
        <w:rPr>
          <w:b w:val="0"/>
          <w:sz w:val="20"/>
        </w:rPr>
        <w:t>)</w:t>
      </w:r>
      <w:r w:rsidR="006E07FE">
        <w:rPr>
          <w:b w:val="0"/>
          <w:sz w:val="20"/>
        </w:rPr>
        <w:t xml:space="preserve"> is one that</w:t>
      </w:r>
      <w:r w:rsidR="004A50C1">
        <w:rPr>
          <w:b w:val="0"/>
          <w:sz w:val="20"/>
        </w:rPr>
        <w:t xml:space="preserve"> supports the following two previously approved NANC change orders: </w:t>
      </w:r>
      <w:r w:rsidR="00D3343A">
        <w:rPr>
          <w:b w:val="0"/>
          <w:sz w:val="20"/>
        </w:rPr>
        <w:t xml:space="preserve"> NANC 429, “Uniform Resource Identifier (URI) Field for Voice” and NANC 442, “Pseudo Location Routing Number (LRN)”. </w:t>
      </w:r>
    </w:p>
    <w:p w:rsidR="004A50C1" w:rsidRDefault="004A50C1" w:rsidP="006E07FE">
      <w:pPr>
        <w:pStyle w:val="BodyText"/>
        <w:spacing w:before="0" w:after="0"/>
        <w:jc w:val="left"/>
        <w:rPr>
          <w:b w:val="0"/>
          <w:sz w:val="20"/>
        </w:rPr>
      </w:pPr>
    </w:p>
    <w:p w:rsidR="004A50C1" w:rsidRPr="006E07FE" w:rsidRDefault="004A50C1" w:rsidP="004A50C1">
      <w:pPr>
        <w:spacing w:before="0" w:after="0"/>
        <w:jc w:val="left"/>
        <w:rPr>
          <w:rFonts w:cs="Arial"/>
        </w:rPr>
      </w:pPr>
      <w:r w:rsidRPr="006E07FE">
        <w:rPr>
          <w:rFonts w:cs="Arial"/>
        </w:rPr>
        <w:t xml:space="preserve">LSMS is used to receive information from the </w:t>
      </w:r>
      <w:r>
        <w:rPr>
          <w:rFonts w:cs="Arial"/>
        </w:rPr>
        <w:t>industry 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 xml:space="preserve">In addition to multiple third party LSMS options, </w:t>
      </w:r>
      <w:r w:rsidR="00EB7B23">
        <w:rPr>
          <w:rFonts w:cs="Arial"/>
        </w:rPr>
        <w:t xml:space="preserve">there are other ways to directly receive routing data from the NPAC or indirectly </w:t>
      </w:r>
      <w:r w:rsidR="00BC774C">
        <w:rPr>
          <w:rFonts w:cs="Arial"/>
        </w:rPr>
        <w:t xml:space="preserve">receive data </w:t>
      </w:r>
      <w:r w:rsidR="00EB7B23">
        <w:rPr>
          <w:rFonts w:cs="Arial"/>
        </w:rPr>
        <w:t>through a Service Bureau entity. For the remainder of this solution description, a compliant LSMS (or equivalent) is one that supports NANC 429 and NANC 442.</w:t>
      </w:r>
    </w:p>
    <w:p w:rsidR="00EB7B23" w:rsidRDefault="00EB7B23" w:rsidP="006E07FE">
      <w:pPr>
        <w:pStyle w:val="BodyText"/>
        <w:spacing w:before="0" w:after="0"/>
        <w:jc w:val="left"/>
        <w:rPr>
          <w:b w:val="0"/>
          <w:sz w:val="20"/>
        </w:rPr>
      </w:pPr>
    </w:p>
    <w:p w:rsidR="006E07FE" w:rsidRDefault="0064017D" w:rsidP="006E07FE">
      <w:pPr>
        <w:pStyle w:val="BodyText"/>
        <w:spacing w:before="0" w:after="0"/>
        <w:jc w:val="left"/>
        <w:rPr>
          <w:b w:val="0"/>
          <w:sz w:val="20"/>
        </w:rPr>
      </w:pPr>
      <w:r>
        <w:rPr>
          <w:b w:val="0"/>
          <w:sz w:val="20"/>
        </w:rPr>
        <w:t xml:space="preserve">It should be noted that </w:t>
      </w:r>
      <w:r w:rsidR="00D3343A">
        <w:rPr>
          <w:b w:val="0"/>
          <w:sz w:val="20"/>
        </w:rPr>
        <w:t>NANC 372, “SOA/LSMS</w:t>
      </w:r>
      <w:r w:rsidR="006E07FE" w:rsidRPr="004D5CE8">
        <w:rPr>
          <w:b w:val="0"/>
          <w:sz w:val="20"/>
        </w:rPr>
        <w:t xml:space="preserve"> Interface Protocol Alternatives</w:t>
      </w:r>
      <w:r>
        <w:rPr>
          <w:b w:val="0"/>
          <w:sz w:val="20"/>
        </w:rPr>
        <w:t xml:space="preserve">”, supports the addition of an XML-based interface </w:t>
      </w:r>
      <w:r w:rsidR="00C02F6E">
        <w:rPr>
          <w:b w:val="0"/>
          <w:sz w:val="20"/>
        </w:rPr>
        <w:t xml:space="preserve">along with the existing, but generally more complex CMIP-based interface.  Implementations of NANC 372 could </w:t>
      </w:r>
      <w:r w:rsidR="009A70F3">
        <w:rPr>
          <w:b w:val="0"/>
          <w:sz w:val="20"/>
        </w:rPr>
        <w:t xml:space="preserve">be one way </w:t>
      </w:r>
      <w:r w:rsidR="00087B5B">
        <w:rPr>
          <w:b w:val="0"/>
          <w:sz w:val="20"/>
        </w:rPr>
        <w:t xml:space="preserve">for existing SOA/LSMS </w:t>
      </w:r>
      <w:r w:rsidR="009A70F3">
        <w:rPr>
          <w:b w:val="0"/>
          <w:sz w:val="20"/>
        </w:rPr>
        <w:t xml:space="preserve">to address </w:t>
      </w:r>
      <w:r w:rsidR="00695C9B">
        <w:rPr>
          <w:b w:val="0"/>
          <w:sz w:val="20"/>
        </w:rPr>
        <w:t xml:space="preserve">full industry </w:t>
      </w:r>
      <w:r w:rsidR="009A70F3">
        <w:rPr>
          <w:b w:val="0"/>
          <w:sz w:val="20"/>
        </w:rPr>
        <w:t>compliance with NANC 429 and NANC 442.  However, this is not assumed in the remainder of this description.</w:t>
      </w:r>
    </w:p>
    <w:p w:rsidR="00C02F6E" w:rsidRPr="004E424A" w:rsidRDefault="00C02F6E" w:rsidP="006E07FE">
      <w:pPr>
        <w:pStyle w:val="BodyText"/>
        <w:spacing w:before="0" w:after="0"/>
        <w:jc w:val="left"/>
        <w:rPr>
          <w:b w:val="0"/>
          <w:sz w:val="20"/>
        </w:rPr>
      </w:pPr>
    </w:p>
    <w:p w:rsidR="00E20D7E" w:rsidRDefault="00E20D7E" w:rsidP="00E20D7E">
      <w:pPr>
        <w:pStyle w:val="BodyText"/>
        <w:jc w:val="left"/>
        <w:rPr>
          <w:b w:val="0"/>
          <w:sz w:val="20"/>
        </w:rPr>
      </w:pPr>
      <w:r w:rsidRPr="000978AD">
        <w:rPr>
          <w:b w:val="0"/>
          <w:sz w:val="20"/>
        </w:rPr>
        <w:t>The following description</w:t>
      </w:r>
      <w:r>
        <w:rPr>
          <w:b w:val="0"/>
          <w:sz w:val="20"/>
        </w:rPr>
        <w:t xml:space="preserve"> </w:t>
      </w:r>
      <w:r w:rsidR="00695C9B">
        <w:rPr>
          <w:b w:val="0"/>
          <w:sz w:val="20"/>
        </w:rPr>
        <w:t xml:space="preserve">does </w:t>
      </w:r>
      <w:r w:rsidRPr="000978AD">
        <w:rPr>
          <w:b w:val="0"/>
          <w:sz w:val="20"/>
        </w:rPr>
        <w:t xml:space="preserve">assume that </w:t>
      </w:r>
      <w:r>
        <w:rPr>
          <w:b w:val="0"/>
          <w:sz w:val="20"/>
        </w:rPr>
        <w:t>certain</w:t>
      </w:r>
      <w:r w:rsidRPr="000978AD">
        <w:rPr>
          <w:b w:val="0"/>
          <w:sz w:val="20"/>
        </w:rPr>
        <w:t xml:space="preserve"> one-time activities previously discussed </w:t>
      </w:r>
      <w:r w:rsidR="00695C9B">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sidR="00695C9B">
        <w:rPr>
          <w:b w:val="0"/>
          <w:sz w:val="20"/>
        </w:rPr>
        <w:t xml:space="preserve">further </w:t>
      </w:r>
      <w:r w:rsidRPr="000978AD">
        <w:rPr>
          <w:b w:val="0"/>
          <w:sz w:val="20"/>
        </w:rPr>
        <w:t>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industry NPAC</w:t>
      </w:r>
      <w:r w:rsidRPr="000978AD">
        <w:rPr>
          <w:b w:val="0"/>
          <w:sz w:val="20"/>
        </w:rPr>
        <w:t xml:space="preserve"> is in the form of a SIP URI like </w:t>
      </w:r>
      <w:r>
        <w:rPr>
          <w:b w:val="0"/>
          <w:sz w:val="20"/>
        </w:rPr>
        <w:t>“sip:&lt;telephone number&gt;@sbc1.sp1.com”.  However, the solution doesn’t rely on just this specific URI format.</w:t>
      </w:r>
    </w:p>
    <w:p w:rsidR="00ED44EE" w:rsidRDefault="00ED44EE" w:rsidP="00ED44EE">
      <w:pPr>
        <w:pStyle w:val="Heading3"/>
        <w:numPr>
          <w:ilvl w:val="2"/>
          <w:numId w:val="52"/>
        </w:numPr>
        <w:ind w:left="810" w:hanging="810"/>
      </w:pPr>
      <w:r>
        <w:t>Provisioning</w:t>
      </w:r>
    </w:p>
    <w:p w:rsidR="00E20D7E" w:rsidRPr="000978AD" w:rsidRDefault="00E20D7E" w:rsidP="00E20D7E">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IDentification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E20D7E" w:rsidRDefault="00E20D7E" w:rsidP="00E20D7E">
      <w:pPr>
        <w:pStyle w:val="BodyText"/>
        <w:jc w:val="left"/>
        <w:rPr>
          <w:b w:val="0"/>
          <w:sz w:val="20"/>
        </w:rPr>
      </w:pPr>
      <w:r>
        <w:rPr>
          <w:b w:val="0"/>
          <w:sz w:val="20"/>
        </w:rPr>
        <w:t>The</w:t>
      </w:r>
      <w:r w:rsidRPr="000978AD">
        <w:rPr>
          <w:b w:val="0"/>
          <w:sz w:val="20"/>
        </w:rPr>
        <w:t xml:space="preserve"> key constraint in the industry NPAC has since been removed through NANC </w:t>
      </w:r>
      <w:r w:rsidR="00087B5B">
        <w:rPr>
          <w:b w:val="0"/>
          <w:sz w:val="20"/>
        </w:rPr>
        <w:t xml:space="preserve">442 </w:t>
      </w:r>
      <w:r w:rsidRPr="000978AD">
        <w:rPr>
          <w:b w:val="0"/>
          <w:sz w:val="20"/>
        </w:rPr>
        <w:t xml:space="preserve">that allows native telephone numbers and associated information to be stored in the industry NPAC.  The PSTN to IP transition use case and others being discussed are analogous to those that have naturally evolved around text messaging where </w:t>
      </w:r>
      <w:r w:rsidRPr="000978AD">
        <w:rPr>
          <w:b w:val="0"/>
          <w:sz w:val="20"/>
        </w:rPr>
        <w:lastRenderedPageBreak/>
        <w:t xml:space="preserve">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w:t>
      </w:r>
      <w:r w:rsidR="00087B5B">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sidR="00087B5B">
        <w:rPr>
          <w:b w:val="0"/>
          <w:sz w:val="20"/>
        </w:rPr>
        <w:t>distribute</w:t>
      </w:r>
      <w:r w:rsidR="00087B5B" w:rsidRPr="000978AD">
        <w:rPr>
          <w:b w:val="0"/>
          <w:sz w:val="20"/>
        </w:rPr>
        <w:t xml:space="preserve"> </w:t>
      </w:r>
      <w:r w:rsidRPr="000978AD">
        <w:rPr>
          <w:b w:val="0"/>
          <w:sz w:val="20"/>
        </w:rPr>
        <w:t>NPAC database records with URI field data.</w:t>
      </w:r>
    </w:p>
    <w:p w:rsidR="00E20D7E" w:rsidRDefault="00E20D7E" w:rsidP="00E20D7E">
      <w:pPr>
        <w:pStyle w:val="BodyText"/>
        <w:jc w:val="left"/>
        <w:rPr>
          <w:b w:val="0"/>
          <w:sz w:val="20"/>
        </w:rPr>
      </w:pPr>
      <w:r>
        <w:rPr>
          <w:b w:val="0"/>
          <w:sz w:val="20"/>
        </w:rPr>
        <w:t xml:space="preserve">Figure </w:t>
      </w:r>
      <w:r w:rsidR="004F0E95">
        <w:rPr>
          <w:b w:val="0"/>
          <w:sz w:val="20"/>
        </w:rPr>
        <w:t>5.3.</w:t>
      </w:r>
      <w:r>
        <w:rPr>
          <w:b w:val="0"/>
          <w:sz w:val="20"/>
        </w:rPr>
        <w:t xml:space="preserve">1 below highlights the provisioning and distribution aspects of the solution. </w:t>
      </w:r>
      <w:r w:rsidRPr="00C13FA1">
        <w:rPr>
          <w:b w:val="0"/>
          <w:sz w:val="20"/>
        </w:rPr>
        <w:t xml:space="preserve"> </w:t>
      </w:r>
      <w:r w:rsidR="004F0E95">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sidR="007D3DF4">
        <w:rPr>
          <w:b w:val="0"/>
          <w:sz w:val="20"/>
        </w:rPr>
        <w:t>-XXXX</w:t>
      </w:r>
      <w:r>
        <w:rPr>
          <w:b w:val="0"/>
          <w:sz w:val="20"/>
        </w:rPr>
        <w:t xml:space="preserve">.  Further, SP1 has </w:t>
      </w:r>
      <w:r w:rsidR="007D3DF4">
        <w:rPr>
          <w:b w:val="0"/>
          <w:sz w:val="20"/>
        </w:rPr>
        <w:t>both a compliant SOA and LSMS</w:t>
      </w:r>
      <w:r>
        <w:rPr>
          <w:b w:val="0"/>
          <w:sz w:val="20"/>
        </w:rPr>
        <w:t xml:space="preserve"> while SP2 </w:t>
      </w:r>
      <w:r w:rsidR="007D3DF4">
        <w:rPr>
          <w:b w:val="0"/>
          <w:sz w:val="20"/>
        </w:rPr>
        <w:t>does not</w:t>
      </w:r>
      <w:r>
        <w:rPr>
          <w:b w:val="0"/>
          <w:sz w:val="20"/>
        </w:rPr>
        <w:t>.</w:t>
      </w:r>
    </w:p>
    <w:p w:rsidR="00E20D7E" w:rsidRDefault="00E20D7E" w:rsidP="00E20D7E">
      <w:pPr>
        <w:pStyle w:val="BodyText"/>
        <w:jc w:val="left"/>
        <w:rPr>
          <w:b w:val="0"/>
          <w:sz w:val="20"/>
        </w:rPr>
      </w:pPr>
    </w:p>
    <w:p w:rsidR="00E20D7E" w:rsidRDefault="00DB3154" w:rsidP="00E20D7E">
      <w:pPr>
        <w:pStyle w:val="BodyText"/>
        <w:rPr>
          <w:b w:val="0"/>
          <w:sz w:val="20"/>
        </w:rPr>
      </w:pPr>
      <w:r>
        <w:rPr>
          <w:noProof/>
        </w:rPr>
        <w:drawing>
          <wp:inline distT="0" distB="0" distL="0" distR="0">
            <wp:extent cx="6400800" cy="43620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00800" cy="4362096"/>
                    </a:xfrm>
                    <a:prstGeom prst="rect">
                      <a:avLst/>
                    </a:prstGeom>
                    <a:noFill/>
                    <a:ln w="9525">
                      <a:noFill/>
                      <a:miter lim="800000"/>
                      <a:headEnd/>
                      <a:tailEnd/>
                    </a:ln>
                  </pic:spPr>
                </pic:pic>
              </a:graphicData>
            </a:graphic>
          </wp:inline>
        </w:drawing>
      </w:r>
    </w:p>
    <w:p w:rsidR="001E628E" w:rsidRDefault="00E20D7E">
      <w:pPr>
        <w:pStyle w:val="BodyText"/>
        <w:rPr>
          <w:b w:val="0"/>
          <w:sz w:val="20"/>
        </w:rPr>
      </w:pPr>
      <w:r w:rsidRPr="00FC6B53">
        <w:rPr>
          <w:sz w:val="20"/>
        </w:rPr>
        <w:t xml:space="preserve">Figure </w:t>
      </w:r>
      <w:r w:rsidR="004F0E95">
        <w:rPr>
          <w:sz w:val="20"/>
        </w:rPr>
        <w:t>5.3.</w:t>
      </w:r>
      <w:r w:rsidRPr="00FC6B53">
        <w:rPr>
          <w:sz w:val="20"/>
        </w:rPr>
        <w:t>1: Provisioning</w:t>
      </w:r>
    </w:p>
    <w:p w:rsidR="00E20D7E" w:rsidRDefault="00E20D7E" w:rsidP="00E20D7E">
      <w:pPr>
        <w:widowControl w:val="0"/>
        <w:numPr>
          <w:ilvl w:val="0"/>
          <w:numId w:val="48"/>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tblPr>
      <w:tblGrid>
        <w:gridCol w:w="2015"/>
        <w:gridCol w:w="1705"/>
      </w:tblGrid>
      <w:tr w:rsidR="00E20D7E" w:rsidRPr="00BD55C2" w:rsidTr="004A50C1">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b/>
                <w:bCs/>
                <w:lang w:eastAsia="ja-JP"/>
              </w:rPr>
              <w:t xml:space="preserve">IP Address </w:t>
            </w:r>
          </w:p>
        </w:tc>
      </w:tr>
      <w:tr w:rsidR="00E20D7E" w:rsidRPr="00BD55C2" w:rsidTr="004A50C1">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138.34.23.3 </w:t>
            </w:r>
          </w:p>
        </w:tc>
      </w:tr>
      <w:tr w:rsidR="00E20D7E" w:rsidRPr="00BD55C2" w:rsidTr="004A50C1">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182.36.12.1 </w:t>
            </w:r>
          </w:p>
        </w:tc>
      </w:tr>
      <w:tr w:rsidR="00E20D7E" w:rsidRPr="00BD55C2" w:rsidTr="004A50C1">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4A50C1">
            <w:pPr>
              <w:widowControl w:val="0"/>
              <w:spacing w:before="0" w:after="0"/>
              <w:ind w:left="810" w:hanging="450"/>
              <w:jc w:val="left"/>
              <w:rPr>
                <w:rFonts w:cs="Arial"/>
                <w:lang w:eastAsia="ja-JP"/>
              </w:rPr>
            </w:pPr>
            <w:r w:rsidRPr="00BD55C2">
              <w:rPr>
                <w:rFonts w:cs="Arial"/>
                <w:lang w:eastAsia="ja-JP"/>
              </w:rPr>
              <w:t xml:space="preserve">58.23.12.90 </w:t>
            </w:r>
          </w:p>
        </w:tc>
      </w:tr>
    </w:tbl>
    <w:p w:rsidR="00E20D7E" w:rsidRDefault="00E20D7E" w:rsidP="00E20D7E">
      <w:pPr>
        <w:widowControl w:val="0"/>
        <w:spacing w:before="0" w:after="240"/>
        <w:ind w:left="810" w:hanging="450"/>
        <w:jc w:val="left"/>
        <w:rPr>
          <w:rFonts w:cs="Arial"/>
          <w:lang w:eastAsia="ja-JP"/>
        </w:rPr>
      </w:pPr>
    </w:p>
    <w:p w:rsidR="00E20D7E" w:rsidRDefault="00E20D7E" w:rsidP="00E20D7E">
      <w:pPr>
        <w:widowControl w:val="0"/>
        <w:numPr>
          <w:ilvl w:val="0"/>
          <w:numId w:val="48"/>
        </w:numPr>
        <w:spacing w:before="0" w:after="240"/>
        <w:ind w:left="810" w:hanging="450"/>
        <w:jc w:val="left"/>
        <w:rPr>
          <w:rFonts w:cs="Arial"/>
          <w:lang w:eastAsia="ja-JP"/>
        </w:rPr>
      </w:pPr>
      <w:r w:rsidRPr="00FC6B53">
        <w:rPr>
          <w:rFonts w:cs="Arial"/>
          <w:lang w:eastAsia="ja-JP"/>
        </w:rPr>
        <w:lastRenderedPageBreak/>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“sip:</w:t>
      </w:r>
      <w:r>
        <w:t>&lt;telephone number&gt;</w:t>
      </w:r>
      <w:r w:rsidRPr="00FC6B53">
        <w:t>@sbc1.sp1.com”.</w:t>
      </w:r>
    </w:p>
    <w:p w:rsidR="004F0F5E" w:rsidRDefault="004F0F5E" w:rsidP="004F0F5E">
      <w:pPr>
        <w:widowControl w:val="0"/>
        <w:numPr>
          <w:ilvl w:val="0"/>
          <w:numId w:val="48"/>
        </w:numPr>
        <w:spacing w:before="0" w:after="240"/>
        <w:ind w:left="810" w:hanging="450"/>
        <w:jc w:val="left"/>
        <w:rPr>
          <w:rFonts w:cs="Arial"/>
          <w:lang w:eastAsia="ja-JP"/>
        </w:rPr>
      </w:pPr>
      <w:r>
        <w:rPr>
          <w:rFonts w:cs="Arial"/>
          <w:lang w:eastAsia="ja-JP"/>
        </w:rPr>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sidR="00AB74CF">
        <w:rPr>
          <w:rFonts w:cs="Arial"/>
          <w:lang w:eastAsia="ja-JP"/>
        </w:rPr>
        <w:t>SP2</w:t>
      </w:r>
      <w:r>
        <w:rPr>
          <w:rFonts w:cs="Arial"/>
          <w:lang w:eastAsia="ja-JP"/>
        </w:rPr>
        <w:t xml:space="preserve"> (along with other existing NPAC data for number portability) through its LSMS (or equivalent).</w:t>
      </w:r>
    </w:p>
    <w:p w:rsidR="004F0F5E" w:rsidRDefault="004F0F5E" w:rsidP="004F0F5E">
      <w:pPr>
        <w:widowControl w:val="0"/>
        <w:numPr>
          <w:ilvl w:val="0"/>
          <w:numId w:val="48"/>
        </w:numPr>
        <w:spacing w:before="0" w:after="240"/>
        <w:ind w:left="810" w:hanging="450"/>
        <w:jc w:val="left"/>
        <w:rPr>
          <w:rFonts w:cs="Arial"/>
          <w:lang w:eastAsia="ja-JP"/>
        </w:rPr>
      </w:pPr>
      <w:r>
        <w:rPr>
          <w:rFonts w:cs="Arial"/>
          <w:lang w:eastAsia="ja-JP"/>
        </w:rPr>
        <w:t>SP1 extracts</w:t>
      </w:r>
      <w:r w:rsidRPr="00FE564B">
        <w:rPr>
          <w:rFonts w:cs="Arial"/>
          <w:lang w:eastAsia="ja-JP"/>
        </w:rPr>
        <w:t xml:space="preserve"> </w:t>
      </w:r>
      <w:r>
        <w:rPr>
          <w:rFonts w:cs="Arial"/>
          <w:lang w:eastAsia="ja-JP"/>
        </w:rPr>
        <w:t xml:space="preserve">per-TN VOICE URI field data from </w:t>
      </w:r>
      <w:r w:rsidR="00AB74CF">
        <w:rPr>
          <w:rFonts w:cs="Arial"/>
          <w:lang w:eastAsia="ja-JP"/>
        </w:rPr>
        <w:t>SP2</w:t>
      </w:r>
      <w:r>
        <w:rPr>
          <w:rFonts w:cs="Arial"/>
          <w:lang w:eastAsia="ja-JP"/>
        </w:rPr>
        <w:t xml:space="preserve"> (along with other existing NPAC data for number portability) </w:t>
      </w:r>
      <w:r w:rsidRPr="00FE564B">
        <w:rPr>
          <w:rFonts w:cs="Arial"/>
          <w:lang w:eastAsia="ja-JP"/>
        </w:rPr>
        <w:t>and provision</w:t>
      </w:r>
      <w:r w:rsidR="00E624C9">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w:t>
      </w:r>
      <w:r w:rsidR="00E624C9">
        <w:rPr>
          <w:rFonts w:cs="Arial"/>
          <w:lang w:eastAsia="ja-JP"/>
        </w:rPr>
        <w:t>used are specific to SP1</w:t>
      </w:r>
      <w:r>
        <w:rPr>
          <w:rFonts w:cs="Arial"/>
          <w:lang w:eastAsia="ja-JP"/>
        </w:rPr>
        <w:t xml:space="preserve">. </w:t>
      </w:r>
    </w:p>
    <w:p w:rsidR="00E20D7E" w:rsidRDefault="00E20D7E" w:rsidP="00E20D7E">
      <w:pPr>
        <w:pStyle w:val="BodyText"/>
        <w:widowControl w:val="0"/>
        <w:numPr>
          <w:ilvl w:val="0"/>
          <w:numId w:val="48"/>
        </w:numPr>
        <w:spacing w:before="0"/>
        <w:ind w:left="810" w:hanging="450"/>
        <w:jc w:val="left"/>
        <w:rPr>
          <w:b w:val="0"/>
          <w:sz w:val="20"/>
        </w:rPr>
      </w:pPr>
      <w:r>
        <w:rPr>
          <w:b w:val="0"/>
          <w:sz w:val="20"/>
        </w:rPr>
        <w:t xml:space="preserve">SP2 shares </w:t>
      </w:r>
      <w:r w:rsidR="00E624C9">
        <w:rPr>
          <w:b w:val="0"/>
          <w:sz w:val="20"/>
        </w:rPr>
        <w:t xml:space="preserve">per-TN VOICE URI </w:t>
      </w:r>
      <w:r>
        <w:rPr>
          <w:b w:val="0"/>
          <w:sz w:val="20"/>
        </w:rPr>
        <w:t>routing data with an established third party service.  For example,</w:t>
      </w:r>
    </w:p>
    <w:p w:rsidR="00E20D7E" w:rsidRDefault="00E20D7E" w:rsidP="00E20D7E">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designates</w:t>
      </w:r>
      <w:r w:rsidR="00E624C9">
        <w:rPr>
          <w:b w:val="0"/>
          <w:sz w:val="20"/>
        </w:rPr>
        <w:t xml:space="preserve"> existing</w:t>
      </w:r>
      <w:r w:rsidRPr="000978AD">
        <w:rPr>
          <w:b w:val="0"/>
          <w:sz w:val="20"/>
        </w:rPr>
        <w:t xml:space="preserve"> </w:t>
      </w:r>
      <w:r w:rsidR="00E624C9">
        <w:rPr>
          <w:b w:val="0"/>
          <w:sz w:val="20"/>
        </w:rPr>
        <w:t xml:space="preserve">TN </w:t>
      </w:r>
      <w:r w:rsidRPr="000978AD">
        <w:rPr>
          <w:b w:val="0"/>
          <w:sz w:val="20"/>
        </w:rPr>
        <w:t>508-332</w:t>
      </w:r>
      <w:r w:rsidR="00E624C9">
        <w:rPr>
          <w:b w:val="0"/>
          <w:sz w:val="20"/>
        </w:rPr>
        <w:t>-2319</w:t>
      </w:r>
      <w:r w:rsidRPr="000978AD">
        <w:rPr>
          <w:b w:val="0"/>
          <w:sz w:val="20"/>
        </w:rPr>
        <w:t xml:space="preserve"> for IP interconnection</w:t>
      </w:r>
      <w:r>
        <w:rPr>
          <w:b w:val="0"/>
          <w:sz w:val="20"/>
        </w:rPr>
        <w:t>.</w:t>
      </w:r>
    </w:p>
    <w:p w:rsidR="00E20D7E" w:rsidRDefault="00E20D7E" w:rsidP="00E20D7E">
      <w:pPr>
        <w:pStyle w:val="BodyText"/>
        <w:widowControl w:val="0"/>
        <w:numPr>
          <w:ilvl w:val="1"/>
          <w:numId w:val="48"/>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E20D7E" w:rsidRDefault="00E20D7E" w:rsidP="00E20D7E">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E20D7E" w:rsidRDefault="00E20D7E" w:rsidP="00E20D7E">
      <w:pPr>
        <w:pStyle w:val="BodyText"/>
        <w:widowControl w:val="0"/>
        <w:numPr>
          <w:ilvl w:val="1"/>
          <w:numId w:val="48"/>
        </w:numPr>
        <w:spacing w:before="0"/>
        <w:ind w:left="1170"/>
        <w:jc w:val="left"/>
        <w:rPr>
          <w:b w:val="0"/>
          <w:sz w:val="20"/>
        </w:rPr>
      </w:pPr>
      <w:r w:rsidRPr="000978AD">
        <w:rPr>
          <w:b w:val="0"/>
          <w:sz w:val="20"/>
        </w:rPr>
        <w:t xml:space="preserve">The </w:t>
      </w:r>
      <w:r w:rsidR="00E624C9">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sidR="00E624C9">
        <w:rPr>
          <w:b w:val="0"/>
          <w:sz w:val="20"/>
        </w:rPr>
        <w:t>2319</w:t>
      </w:r>
      <w:r w:rsidRPr="000978AD">
        <w:rPr>
          <w:b w:val="0"/>
          <w:sz w:val="20"/>
        </w:rPr>
        <w:t>,sbc1.sp</w:t>
      </w:r>
      <w:r>
        <w:rPr>
          <w:b w:val="0"/>
          <w:sz w:val="20"/>
        </w:rPr>
        <w:t>2</w:t>
      </w:r>
      <w:r w:rsidRPr="000978AD">
        <w:rPr>
          <w:b w:val="0"/>
          <w:sz w:val="20"/>
        </w:rPr>
        <w:t>.com,A</w:t>
      </w:r>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E20D7E" w:rsidRPr="00031B0A" w:rsidRDefault="00E20D7E" w:rsidP="00E20D7E">
      <w:pPr>
        <w:pStyle w:val="BodyText"/>
        <w:widowControl w:val="0"/>
        <w:numPr>
          <w:ilvl w:val="0"/>
          <w:numId w:val="48"/>
        </w:numPr>
        <w:spacing w:before="0"/>
        <w:ind w:left="810" w:hanging="450"/>
        <w:jc w:val="left"/>
        <w:rPr>
          <w:b w:val="0"/>
          <w:sz w:val="20"/>
        </w:rPr>
      </w:pPr>
      <w:r w:rsidRPr="00031B0A">
        <w:rPr>
          <w:b w:val="0"/>
          <w:sz w:val="20"/>
        </w:rPr>
        <w:t xml:space="preserve">The third party service for SP2 manages as per-TN VOICE URI field data in the industry NPAC on behalf of SP2.  For one example use case, </w:t>
      </w:r>
    </w:p>
    <w:p w:rsidR="00E20D7E" w:rsidRPr="00031B0A" w:rsidRDefault="00E20D7E" w:rsidP="00E20D7E">
      <w:pPr>
        <w:pStyle w:val="BodyText"/>
        <w:widowControl w:val="0"/>
        <w:numPr>
          <w:ilvl w:val="1"/>
          <w:numId w:val="48"/>
        </w:numPr>
        <w:spacing w:before="0"/>
        <w:ind w:left="1170"/>
        <w:jc w:val="left"/>
        <w:rPr>
          <w:b w:val="0"/>
          <w:sz w:val="20"/>
        </w:rPr>
      </w:pPr>
      <w:r w:rsidRPr="00031B0A">
        <w:rPr>
          <w:b w:val="0"/>
          <w:sz w:val="20"/>
        </w:rPr>
        <w:t>Third party service interprets row “508332</w:t>
      </w:r>
      <w:r w:rsidR="00E624C9" w:rsidRPr="00031B0A">
        <w:rPr>
          <w:b w:val="0"/>
          <w:sz w:val="20"/>
        </w:rPr>
        <w:t>2319</w:t>
      </w:r>
      <w:r w:rsidRPr="00031B0A">
        <w:rPr>
          <w:b w:val="0"/>
          <w:sz w:val="20"/>
        </w:rPr>
        <w:t>,sbc1.sp2.com,A” in a shared flat file and generates the associated industry NPAC provisioning actions.  For example,</w:t>
      </w:r>
    </w:p>
    <w:p w:rsidR="001E628E" w:rsidRPr="00031B0A" w:rsidRDefault="001E628E" w:rsidP="00031B0A">
      <w:pPr>
        <w:pStyle w:val="BodyText"/>
        <w:widowControl w:val="0"/>
        <w:numPr>
          <w:ilvl w:val="2"/>
          <w:numId w:val="48"/>
        </w:numPr>
        <w:spacing w:before="0"/>
        <w:ind w:left="1440"/>
        <w:jc w:val="left"/>
        <w:rPr>
          <w:b w:val="0"/>
          <w:sz w:val="20"/>
        </w:rPr>
      </w:pPr>
      <w:r w:rsidRPr="00031B0A">
        <w:rPr>
          <w:b w:val="0"/>
          <w:sz w:val="20"/>
        </w:rPr>
        <w:t>Modify action is generated to add sip:5083322319@sbc1.sp2.com to the VOICE URI field for this existing SV record in the industry NPAC</w:t>
      </w:r>
    </w:p>
    <w:p w:rsidR="001E628E" w:rsidRDefault="00011F6D">
      <w:pPr>
        <w:widowControl w:val="0"/>
        <w:numPr>
          <w:ilvl w:val="0"/>
          <w:numId w:val="48"/>
        </w:numPr>
        <w:spacing w:before="0" w:after="240"/>
        <w:ind w:left="810" w:hanging="450"/>
        <w:jc w:val="left"/>
        <w:rPr>
          <w:rFonts w:cs="Arial"/>
          <w:lang w:eastAsia="ja-JP"/>
        </w:rPr>
      </w:pPr>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p>
    <w:p w:rsidR="00E20D7E" w:rsidRDefault="00E20D7E" w:rsidP="00E20D7E">
      <w:pPr>
        <w:widowControl w:val="0"/>
        <w:numPr>
          <w:ilvl w:val="0"/>
          <w:numId w:val="48"/>
        </w:numPr>
        <w:spacing w:before="0" w:after="240"/>
        <w:ind w:left="810" w:hanging="450"/>
        <w:jc w:val="left"/>
        <w:rPr>
          <w:rFonts w:cs="Arial"/>
          <w:lang w:eastAsia="ja-JP"/>
        </w:rPr>
      </w:pPr>
      <w:r>
        <w:rPr>
          <w:rFonts w:cs="Arial"/>
          <w:lang w:eastAsia="ja-JP"/>
        </w:rPr>
        <w:t xml:space="preserve">SP2 </w:t>
      </w:r>
      <w:r w:rsidRPr="00FE564B">
        <w:rPr>
          <w:rFonts w:cs="Arial"/>
          <w:lang w:eastAsia="ja-JP"/>
        </w:rPr>
        <w:t>extract</w:t>
      </w:r>
      <w:r w:rsidR="00F76E14">
        <w:rPr>
          <w:rFonts w:cs="Arial"/>
          <w:lang w:eastAsia="ja-JP"/>
        </w:rPr>
        <w:t>s</w:t>
      </w:r>
      <w:r w:rsidRPr="00FE564B">
        <w:rPr>
          <w:rFonts w:cs="Arial"/>
          <w:lang w:eastAsia="ja-JP"/>
        </w:rPr>
        <w:t xml:space="preserve"> </w:t>
      </w:r>
      <w:r>
        <w:rPr>
          <w:rFonts w:cs="Arial"/>
          <w:lang w:eastAsia="ja-JP"/>
        </w:rPr>
        <w:t xml:space="preserve">per-TN VOICE URI field data from </w:t>
      </w:r>
      <w:r w:rsidR="00F76E14">
        <w:rPr>
          <w:rFonts w:cs="Arial"/>
          <w:lang w:eastAsia="ja-JP"/>
        </w:rPr>
        <w:t>SP1</w:t>
      </w:r>
      <w:r>
        <w:rPr>
          <w:rFonts w:cs="Arial"/>
          <w:lang w:eastAsia="ja-JP"/>
        </w:rPr>
        <w:t xml:space="preserve"> (along with other existing NPAC data for number portability) </w:t>
      </w:r>
      <w:r w:rsidRPr="00FE564B">
        <w:rPr>
          <w:rFonts w:cs="Arial"/>
          <w:lang w:eastAsia="ja-JP"/>
        </w:rPr>
        <w:t>and provision</w:t>
      </w:r>
      <w:r w:rsidR="00F76E14">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Note that the details of how this routing data gets represented and used are specific to</w:t>
      </w:r>
      <w:r w:rsidR="00F76E14">
        <w:rPr>
          <w:rFonts w:cs="Arial"/>
          <w:lang w:eastAsia="ja-JP"/>
        </w:rPr>
        <w:t xml:space="preserve"> </w:t>
      </w:r>
      <w:r>
        <w:rPr>
          <w:rFonts w:cs="Arial"/>
          <w:lang w:eastAsia="ja-JP"/>
        </w:rPr>
        <w:t xml:space="preserve">SP2. </w:t>
      </w:r>
    </w:p>
    <w:p w:rsidR="00ED44EE" w:rsidRDefault="00ED44EE" w:rsidP="00ED44EE">
      <w:pPr>
        <w:pStyle w:val="Heading3"/>
        <w:numPr>
          <w:ilvl w:val="2"/>
          <w:numId w:val="52"/>
        </w:numPr>
        <w:ind w:left="810" w:hanging="810"/>
      </w:pPr>
      <w:r>
        <w:t>Call Flow</w:t>
      </w:r>
    </w:p>
    <w:p w:rsidR="00E20D7E" w:rsidRDefault="00E20D7E" w:rsidP="00E20D7E">
      <w:pPr>
        <w:pStyle w:val="BodyText"/>
        <w:jc w:val="left"/>
        <w:rPr>
          <w:b w:val="0"/>
          <w:sz w:val="20"/>
        </w:rPr>
      </w:pPr>
      <w:r>
        <w:rPr>
          <w:b w:val="0"/>
          <w:sz w:val="20"/>
        </w:rPr>
        <w:t xml:space="preserve">Figure </w:t>
      </w:r>
      <w:r w:rsidR="004F0E95">
        <w:rPr>
          <w:b w:val="0"/>
          <w:sz w:val="20"/>
        </w:rPr>
        <w:t xml:space="preserve">5.3.4 </w:t>
      </w:r>
      <w:r>
        <w:rPr>
          <w:b w:val="0"/>
          <w:sz w:val="20"/>
        </w:rPr>
        <w:t xml:space="preserve">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E20D7E" w:rsidRDefault="00E20D7E" w:rsidP="00E20D7E">
      <w:pPr>
        <w:pStyle w:val="BodyText"/>
        <w:jc w:val="left"/>
        <w:rPr>
          <w:b w:val="0"/>
          <w:sz w:val="20"/>
        </w:rPr>
      </w:pPr>
    </w:p>
    <w:p w:rsidR="00E20D7E" w:rsidRDefault="00E20D7E" w:rsidP="00E20D7E">
      <w:r>
        <w:rPr>
          <w:noProof/>
        </w:rPr>
        <w:lastRenderedPageBreak/>
        <w:drawing>
          <wp:inline distT="0" distB="0" distL="0" distR="0">
            <wp:extent cx="6400800" cy="3115402"/>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E20D7E" w:rsidRPr="006F616A" w:rsidRDefault="00E20D7E" w:rsidP="00E20D7E">
      <w:pPr>
        <w:pStyle w:val="BodyText"/>
        <w:rPr>
          <w:sz w:val="20"/>
        </w:rPr>
      </w:pPr>
      <w:r w:rsidRPr="00FC6B53">
        <w:rPr>
          <w:sz w:val="20"/>
        </w:rPr>
        <w:t xml:space="preserve">Figure </w:t>
      </w:r>
      <w:r w:rsidR="004F0E95">
        <w:rPr>
          <w:sz w:val="20"/>
        </w:rPr>
        <w:t>5.3.4</w:t>
      </w:r>
      <w:r w:rsidRPr="00FC6B53">
        <w:rPr>
          <w:sz w:val="20"/>
        </w:rPr>
        <w:t>: Call Flow</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E20D7E" w:rsidRDefault="00E20D7E" w:rsidP="00E20D7E">
      <w:pPr>
        <w:pStyle w:val="BodyText"/>
        <w:widowControl w:val="0"/>
        <w:numPr>
          <w:ilvl w:val="0"/>
          <w:numId w:val="49"/>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E20D7E" w:rsidRDefault="00E20D7E" w:rsidP="00E20D7E">
      <w:pPr>
        <w:pStyle w:val="BodyText"/>
        <w:widowControl w:val="0"/>
        <w:numPr>
          <w:ilvl w:val="0"/>
          <w:numId w:val="49"/>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ED44EE" w:rsidRDefault="00ED44EE" w:rsidP="00ED44EE">
      <w:pPr>
        <w:pStyle w:val="Heading3"/>
        <w:numPr>
          <w:ilvl w:val="2"/>
          <w:numId w:val="52"/>
        </w:numPr>
        <w:ind w:left="810" w:hanging="810"/>
      </w:pPr>
      <w:r>
        <w:t>Summary</w:t>
      </w:r>
    </w:p>
    <w:p w:rsidR="00F01C92" w:rsidRDefault="00E20D7E" w:rsidP="00715BCE">
      <w:pPr>
        <w:pStyle w:val="BodyText"/>
        <w:jc w:val="left"/>
        <w:rPr>
          <w:b w:val="0"/>
          <w:sz w:val="20"/>
        </w:rPr>
      </w:pPr>
      <w:r>
        <w:rPr>
          <w:b w:val="0"/>
          <w:sz w:val="20"/>
        </w:rPr>
        <w:t>Th</w:t>
      </w:r>
      <w:r w:rsidR="00D61063">
        <w:rPr>
          <w:b w:val="0"/>
          <w:sz w:val="20"/>
        </w:rPr>
        <w:t>is</w:t>
      </w:r>
      <w:r>
        <w:rPr>
          <w:b w:val="0"/>
          <w:sz w:val="20"/>
        </w:rPr>
        <w:t xml:space="preserve"> solution </w:t>
      </w:r>
      <w:r w:rsidR="00D61063">
        <w:rPr>
          <w:b w:val="0"/>
          <w:sz w:val="20"/>
        </w:rPr>
        <w:t xml:space="preserve">approach </w:t>
      </w:r>
      <w:r w:rsidR="00C60702">
        <w:rPr>
          <w:b w:val="0"/>
          <w:sz w:val="20"/>
        </w:rPr>
        <w:t xml:space="preserve">expands on sections 5.1 and 5.2 where the industry NPAC is </w:t>
      </w:r>
      <w:r w:rsidR="00DD297B">
        <w:rPr>
          <w:b w:val="0"/>
          <w:sz w:val="20"/>
        </w:rPr>
        <w:t>proposed for</w:t>
      </w:r>
      <w:r w:rsidR="00C60702">
        <w:rPr>
          <w:b w:val="0"/>
          <w:sz w:val="20"/>
        </w:rPr>
        <w:t xml:space="preserve"> support</w:t>
      </w:r>
      <w:r w:rsidR="00DD297B">
        <w:rPr>
          <w:b w:val="0"/>
          <w:sz w:val="20"/>
        </w:rPr>
        <w:t>ing</w:t>
      </w:r>
      <w:r w:rsidR="00C60702">
        <w:rPr>
          <w:b w:val="0"/>
          <w:sz w:val="20"/>
        </w:rPr>
        <w:t xml:space="preserve"> per-TN routing. </w:t>
      </w:r>
      <w:r w:rsidR="00D61063">
        <w:rPr>
          <w:b w:val="0"/>
          <w:sz w:val="20"/>
        </w:rPr>
        <w:t xml:space="preserve">Specifically, it </w:t>
      </w:r>
      <w:r w:rsidR="00D61063" w:rsidRPr="000978AD">
        <w:rPr>
          <w:b w:val="0"/>
          <w:sz w:val="20"/>
        </w:rPr>
        <w:t xml:space="preserve">focuses on an approach for </w:t>
      </w:r>
      <w:r w:rsidR="00D61063">
        <w:rPr>
          <w:b w:val="0"/>
          <w:sz w:val="20"/>
        </w:rPr>
        <w:t xml:space="preserve">supporting the </w:t>
      </w:r>
      <w:r w:rsidR="00D61063" w:rsidRPr="000978AD">
        <w:rPr>
          <w:b w:val="0"/>
          <w:sz w:val="20"/>
        </w:rPr>
        <w:t xml:space="preserve">provisioning </w:t>
      </w:r>
      <w:r w:rsidR="00D61063">
        <w:rPr>
          <w:b w:val="0"/>
          <w:sz w:val="20"/>
        </w:rPr>
        <w:t>of per-TN</w:t>
      </w:r>
      <w:r w:rsidR="00D61063" w:rsidRPr="000978AD">
        <w:rPr>
          <w:b w:val="0"/>
          <w:sz w:val="20"/>
        </w:rPr>
        <w:t xml:space="preserve"> level routing data into the industry NPAC</w:t>
      </w:r>
      <w:r w:rsidR="00D61063">
        <w:rPr>
          <w:b w:val="0"/>
          <w:sz w:val="20"/>
        </w:rPr>
        <w:t xml:space="preserve"> and distributing it at a per-TN level for consumption by any authorized service provider where their existing SOA and/or LSMS </w:t>
      </w:r>
      <w:r w:rsidR="004F0E95">
        <w:rPr>
          <w:b w:val="0"/>
          <w:sz w:val="20"/>
        </w:rPr>
        <w:t>may</w:t>
      </w:r>
      <w:r w:rsidR="00D61063">
        <w:rPr>
          <w:b w:val="0"/>
          <w:sz w:val="20"/>
        </w:rPr>
        <w:t xml:space="preserve"> not </w:t>
      </w:r>
      <w:r w:rsidR="004F0E95">
        <w:rPr>
          <w:b w:val="0"/>
          <w:sz w:val="20"/>
        </w:rPr>
        <w:t xml:space="preserve">yet be </w:t>
      </w:r>
      <w:r w:rsidR="00D61063">
        <w:rPr>
          <w:b w:val="0"/>
          <w:sz w:val="20"/>
        </w:rPr>
        <w:t>compliant with the previously approved NANC change orders</w:t>
      </w:r>
      <w:r w:rsidR="004F0E95">
        <w:rPr>
          <w:b w:val="0"/>
          <w:sz w:val="20"/>
        </w:rPr>
        <w:t xml:space="preserve"> that are required</w:t>
      </w:r>
      <w:r w:rsidR="00D61063">
        <w:rPr>
          <w:b w:val="0"/>
          <w:sz w:val="20"/>
        </w:rPr>
        <w:t xml:space="preserve">. </w:t>
      </w:r>
      <w:r>
        <w:rPr>
          <w:b w:val="0"/>
          <w:sz w:val="20"/>
        </w:rPr>
        <w:t>Using</w:t>
      </w:r>
      <w:r w:rsidRPr="000978AD">
        <w:rPr>
          <w:b w:val="0"/>
          <w:sz w:val="20"/>
        </w:rPr>
        <w:t xml:space="preserve"> the</w:t>
      </w:r>
      <w:r>
        <w:rPr>
          <w:b w:val="0"/>
          <w:sz w:val="20"/>
        </w:rPr>
        <w:t xml:space="preserve"> </w:t>
      </w:r>
      <w:r w:rsidRPr="000978AD">
        <w:rPr>
          <w:b w:val="0"/>
          <w:sz w:val="20"/>
        </w:rPr>
        <w:t xml:space="preserve">industry NPAC </w:t>
      </w:r>
      <w:r>
        <w:rPr>
          <w:b w:val="0"/>
          <w:sz w:val="20"/>
        </w:rPr>
        <w:t>to support t</w:t>
      </w:r>
      <w:r w:rsidRPr="000978AD">
        <w:rPr>
          <w:b w:val="0"/>
          <w:sz w:val="20"/>
        </w:rPr>
        <w:t xml:space="preserve">he PSTN to IP transition use case </w:t>
      </w:r>
      <w:r>
        <w:rPr>
          <w:b w:val="0"/>
          <w:sz w:val="20"/>
        </w:rPr>
        <w:t>(</w:t>
      </w:r>
      <w:r w:rsidRPr="000978AD">
        <w:rPr>
          <w:b w:val="0"/>
          <w:sz w:val="20"/>
        </w:rPr>
        <w:t>and others being discussed</w:t>
      </w:r>
      <w:r>
        <w:rPr>
          <w:b w:val="0"/>
          <w:sz w:val="20"/>
        </w:rPr>
        <w:t>)</w:t>
      </w:r>
      <w:r w:rsidRPr="000978AD">
        <w:rPr>
          <w:b w:val="0"/>
          <w:sz w:val="20"/>
        </w:rPr>
        <w:t xml:space="preserve"> </w:t>
      </w:r>
      <w:r>
        <w:rPr>
          <w:b w:val="0"/>
          <w:sz w:val="20"/>
        </w:rPr>
        <w:t>also allows inherent data synchronization with number portability information</w:t>
      </w:r>
      <w:r w:rsidRPr="000978AD">
        <w:rPr>
          <w:b w:val="0"/>
          <w:sz w:val="20"/>
        </w:rPr>
        <w:t>.</w:t>
      </w:r>
      <w:r>
        <w:rPr>
          <w:b w:val="0"/>
          <w:sz w:val="20"/>
        </w:rPr>
        <w:t xml:space="preserve">  Further, the solution</w:t>
      </w:r>
      <w:r w:rsidRPr="000978AD">
        <w:rPr>
          <w:b w:val="0"/>
          <w:sz w:val="20"/>
        </w:rPr>
        <w:t xml:space="preserve"> </w:t>
      </w:r>
      <w:r>
        <w:rPr>
          <w:b w:val="0"/>
          <w:sz w:val="20"/>
        </w:rPr>
        <w:t xml:space="preserve">has support for local downloads/caches of routing data.  The solution is transparent to </w:t>
      </w:r>
      <w:r w:rsidRPr="00FC6B53">
        <w:rPr>
          <w:b w:val="0"/>
          <w:sz w:val="20"/>
        </w:rPr>
        <w:t xml:space="preserve">service providers </w:t>
      </w:r>
      <w:r>
        <w:rPr>
          <w:b w:val="0"/>
          <w:sz w:val="20"/>
        </w:rPr>
        <w:t xml:space="preserve">who </w:t>
      </w:r>
      <w:r w:rsidR="00D61063">
        <w:rPr>
          <w:b w:val="0"/>
          <w:sz w:val="20"/>
        </w:rPr>
        <w:t>have compliant SOA and LSMS</w:t>
      </w:r>
      <w:r>
        <w:rPr>
          <w:b w:val="0"/>
          <w:sz w:val="20"/>
        </w:rPr>
        <w:t>.</w:t>
      </w:r>
      <w:r>
        <w:rPr>
          <w:rFonts w:ascii="Cambria" w:hAnsi="Cambria"/>
          <w:bCs/>
        </w:rPr>
        <w:t xml:space="preserve">  </w:t>
      </w:r>
      <w:r w:rsidRPr="00FC6B53">
        <w:rPr>
          <w:b w:val="0"/>
          <w:sz w:val="20"/>
        </w:rPr>
        <w:t xml:space="preserve">For service providers </w:t>
      </w:r>
      <w:r>
        <w:rPr>
          <w:b w:val="0"/>
          <w:sz w:val="20"/>
        </w:rPr>
        <w:t xml:space="preserve">who </w:t>
      </w:r>
      <w:r w:rsidR="00D61063">
        <w:rPr>
          <w:b w:val="0"/>
          <w:sz w:val="20"/>
        </w:rPr>
        <w:t>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sidR="004F0E95">
        <w:rPr>
          <w:b w:val="0"/>
          <w:sz w:val="20"/>
        </w:rPr>
        <w:t xml:space="preserve"> and </w:t>
      </w:r>
      <w:r w:rsidRPr="00FC6B53">
        <w:rPr>
          <w:b w:val="0"/>
          <w:sz w:val="20"/>
        </w:rPr>
        <w:t xml:space="preserve">provisioned </w:t>
      </w:r>
      <w:r>
        <w:rPr>
          <w:b w:val="0"/>
          <w:sz w:val="20"/>
        </w:rPr>
        <w:t>(on their behalf) in</w:t>
      </w:r>
      <w:r w:rsidR="004F0E95">
        <w:rPr>
          <w:b w:val="0"/>
          <w:sz w:val="20"/>
        </w:rPr>
        <w:t>to</w:t>
      </w:r>
      <w:r>
        <w:rPr>
          <w:b w:val="0"/>
          <w:sz w:val="20"/>
        </w:rPr>
        <w:t xml:space="preserve"> the industry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sidR="00D61063">
        <w:rPr>
          <w:b w:val="0"/>
          <w:sz w:val="20"/>
        </w:rPr>
        <w:t xml:space="preserve"> with a compliant LSMS or </w:t>
      </w:r>
      <w:r w:rsidR="004F0E95">
        <w:rPr>
          <w:b w:val="0"/>
          <w:sz w:val="20"/>
        </w:rPr>
        <w:t xml:space="preserve">distributed </w:t>
      </w:r>
      <w:r w:rsidR="00023049">
        <w:rPr>
          <w:b w:val="0"/>
          <w:sz w:val="20"/>
        </w:rPr>
        <w:t xml:space="preserve">through an established third party </w:t>
      </w:r>
      <w:r w:rsidR="004F0E95">
        <w:rPr>
          <w:b w:val="0"/>
          <w:sz w:val="20"/>
        </w:rPr>
        <w:t xml:space="preserve">over </w:t>
      </w:r>
      <w:r w:rsidR="00023049">
        <w:rPr>
          <w:b w:val="0"/>
          <w:sz w:val="20"/>
        </w:rPr>
        <w:t>a</w:t>
      </w:r>
      <w:r w:rsidR="004F0E95">
        <w:rPr>
          <w:b w:val="0"/>
          <w:sz w:val="20"/>
        </w:rPr>
        <w:t xml:space="preserve"> pre-</w:t>
      </w:r>
      <w:r w:rsidR="00023049">
        <w:rPr>
          <w:b w:val="0"/>
          <w:sz w:val="20"/>
        </w:rPr>
        <w:t>configured</w:t>
      </w:r>
      <w:r w:rsidR="004F0E95">
        <w:rPr>
          <w:b w:val="0"/>
          <w:sz w:val="20"/>
        </w:rPr>
        <w:t xml:space="preserve"> interface</w:t>
      </w:r>
      <w:r>
        <w:rPr>
          <w:b w:val="0"/>
          <w:sz w:val="20"/>
        </w:rPr>
        <w:t>.</w:t>
      </w:r>
    </w:p>
    <w:p w:rsidR="00DB3154" w:rsidRDefault="002C19F1">
      <w:pPr>
        <w:pStyle w:val="Heading2"/>
        <w:numPr>
          <w:ilvl w:val="1"/>
          <w:numId w:val="52"/>
        </w:numPr>
        <w:ind w:left="630"/>
      </w:pPr>
      <w:bookmarkStart w:id="13" w:name="_Toc395519197"/>
      <w:r>
        <w:t>Utilizing LERG as an ENUM Registry – enhances the LERG to provision Tier 1 NS records at an OCN, LRN, NXX, etc. aggregate level</w:t>
      </w:r>
      <w:bookmarkEnd w:id="13"/>
    </w:p>
    <w:sectPr w:rsidR="00DB3154" w:rsidSect="00616EF2">
      <w:footerReference w:type="default" r:id="rId11"/>
      <w:headerReference w:type="first" r:id="rId12"/>
      <w:footerReference w:type="first" r:id="rId13"/>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154" w:rsidRDefault="00DB3154">
      <w:r>
        <w:separator/>
      </w:r>
    </w:p>
  </w:endnote>
  <w:endnote w:type="continuationSeparator" w:id="0">
    <w:p w:rsidR="00DB3154" w:rsidRDefault="00DB31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984908"/>
      <w:docPartObj>
        <w:docPartGallery w:val="Page Numbers (Bottom of Page)"/>
        <w:docPartUnique/>
      </w:docPartObj>
    </w:sdtPr>
    <w:sdtEndPr>
      <w:rPr>
        <w:noProof/>
      </w:rPr>
    </w:sdtEndPr>
    <w:sdtContent>
      <w:p w:rsidR="004A50C1" w:rsidRDefault="001E628E">
        <w:pPr>
          <w:pStyle w:val="Footer"/>
        </w:pPr>
        <w:fldSimple w:instr=" PAGE   \* MERGEFORMAT ">
          <w:r w:rsidR="00C449D3">
            <w:rPr>
              <w:noProof/>
            </w:rPr>
            <w:t>4</w:t>
          </w:r>
        </w:fldSimple>
      </w:p>
    </w:sdtContent>
  </w:sdt>
  <w:p w:rsidR="004A50C1" w:rsidRDefault="004A50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C1" w:rsidRDefault="001E628E">
    <w:pPr>
      <w:pStyle w:val="Footer"/>
      <w:jc w:val="center"/>
    </w:pPr>
    <w:r>
      <w:rPr>
        <w:rStyle w:val="PageNumber"/>
      </w:rPr>
      <w:fldChar w:fldCharType="begin"/>
    </w:r>
    <w:r w:rsidR="004A50C1">
      <w:rPr>
        <w:rStyle w:val="PageNumber"/>
      </w:rPr>
      <w:instrText xml:space="preserve"> PAGE </w:instrText>
    </w:r>
    <w:r>
      <w:rPr>
        <w:rStyle w:val="PageNumber"/>
      </w:rPr>
      <w:fldChar w:fldCharType="separate"/>
    </w:r>
    <w:r w:rsidR="00C449D3">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154" w:rsidRDefault="00DB3154">
      <w:r>
        <w:separator/>
      </w:r>
    </w:p>
  </w:footnote>
  <w:footnote w:type="continuationSeparator" w:id="0">
    <w:p w:rsidR="00DB3154" w:rsidRDefault="00DB31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C1" w:rsidRPr="008F3FC6" w:rsidRDefault="004A50C1" w:rsidP="00E20D7E">
    <w:pPr>
      <w:pStyle w:val="Header"/>
      <w:jc w:val="right"/>
    </w:pPr>
    <w:r>
      <w:rPr>
        <w:rFonts w:cs="Arial"/>
      </w:rPr>
      <w:tab/>
    </w:r>
    <w:r>
      <w:rPr>
        <w:rFonts w:cs="Arial"/>
      </w:rPr>
      <w:tab/>
    </w:r>
    <w:r>
      <w:t>IPNNI-2014-000XXR000</w:t>
    </w:r>
  </w:p>
  <w:p w:rsidR="004A50C1" w:rsidRDefault="004A50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AE04AD"/>
    <w:multiLevelType w:val="multilevel"/>
    <w:tmpl w:val="3506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0AF635B9"/>
    <w:multiLevelType w:val="hybridMultilevel"/>
    <w:tmpl w:val="7E643CFE"/>
    <w:lvl w:ilvl="0" w:tplc="4E94E3F4">
      <w:start w:val="1"/>
      <w:numFmt w:val="bullet"/>
      <w:lvlText w:val="•"/>
      <w:lvlJc w:val="left"/>
      <w:pPr>
        <w:tabs>
          <w:tab w:val="num" w:pos="720"/>
        </w:tabs>
        <w:ind w:left="720" w:hanging="360"/>
      </w:pPr>
      <w:rPr>
        <w:rFonts w:ascii="Arial" w:hAnsi="Arial" w:hint="default"/>
      </w:rPr>
    </w:lvl>
    <w:lvl w:ilvl="1" w:tplc="827C7894" w:tentative="1">
      <w:start w:val="1"/>
      <w:numFmt w:val="bullet"/>
      <w:lvlText w:val="•"/>
      <w:lvlJc w:val="left"/>
      <w:pPr>
        <w:tabs>
          <w:tab w:val="num" w:pos="1440"/>
        </w:tabs>
        <w:ind w:left="1440" w:hanging="360"/>
      </w:pPr>
      <w:rPr>
        <w:rFonts w:ascii="Arial" w:hAnsi="Arial" w:hint="default"/>
      </w:rPr>
    </w:lvl>
    <w:lvl w:ilvl="2" w:tplc="20FA5C0E" w:tentative="1">
      <w:start w:val="1"/>
      <w:numFmt w:val="bullet"/>
      <w:lvlText w:val="•"/>
      <w:lvlJc w:val="left"/>
      <w:pPr>
        <w:tabs>
          <w:tab w:val="num" w:pos="2160"/>
        </w:tabs>
        <w:ind w:left="2160" w:hanging="360"/>
      </w:pPr>
      <w:rPr>
        <w:rFonts w:ascii="Arial" w:hAnsi="Arial" w:hint="default"/>
      </w:rPr>
    </w:lvl>
    <w:lvl w:ilvl="3" w:tplc="DB609248" w:tentative="1">
      <w:start w:val="1"/>
      <w:numFmt w:val="bullet"/>
      <w:lvlText w:val="•"/>
      <w:lvlJc w:val="left"/>
      <w:pPr>
        <w:tabs>
          <w:tab w:val="num" w:pos="2880"/>
        </w:tabs>
        <w:ind w:left="2880" w:hanging="360"/>
      </w:pPr>
      <w:rPr>
        <w:rFonts w:ascii="Arial" w:hAnsi="Arial" w:hint="default"/>
      </w:rPr>
    </w:lvl>
    <w:lvl w:ilvl="4" w:tplc="7D00E530" w:tentative="1">
      <w:start w:val="1"/>
      <w:numFmt w:val="bullet"/>
      <w:lvlText w:val="•"/>
      <w:lvlJc w:val="left"/>
      <w:pPr>
        <w:tabs>
          <w:tab w:val="num" w:pos="3600"/>
        </w:tabs>
        <w:ind w:left="3600" w:hanging="360"/>
      </w:pPr>
      <w:rPr>
        <w:rFonts w:ascii="Arial" w:hAnsi="Arial" w:hint="default"/>
      </w:rPr>
    </w:lvl>
    <w:lvl w:ilvl="5" w:tplc="FF90BB60" w:tentative="1">
      <w:start w:val="1"/>
      <w:numFmt w:val="bullet"/>
      <w:lvlText w:val="•"/>
      <w:lvlJc w:val="left"/>
      <w:pPr>
        <w:tabs>
          <w:tab w:val="num" w:pos="4320"/>
        </w:tabs>
        <w:ind w:left="4320" w:hanging="360"/>
      </w:pPr>
      <w:rPr>
        <w:rFonts w:ascii="Arial" w:hAnsi="Arial" w:hint="default"/>
      </w:rPr>
    </w:lvl>
    <w:lvl w:ilvl="6" w:tplc="CDB66EF8" w:tentative="1">
      <w:start w:val="1"/>
      <w:numFmt w:val="bullet"/>
      <w:lvlText w:val="•"/>
      <w:lvlJc w:val="left"/>
      <w:pPr>
        <w:tabs>
          <w:tab w:val="num" w:pos="5040"/>
        </w:tabs>
        <w:ind w:left="5040" w:hanging="360"/>
      </w:pPr>
      <w:rPr>
        <w:rFonts w:ascii="Arial" w:hAnsi="Arial" w:hint="default"/>
      </w:rPr>
    </w:lvl>
    <w:lvl w:ilvl="7" w:tplc="C0CE55B4" w:tentative="1">
      <w:start w:val="1"/>
      <w:numFmt w:val="bullet"/>
      <w:lvlText w:val="•"/>
      <w:lvlJc w:val="left"/>
      <w:pPr>
        <w:tabs>
          <w:tab w:val="num" w:pos="5760"/>
        </w:tabs>
        <w:ind w:left="5760" w:hanging="360"/>
      </w:pPr>
      <w:rPr>
        <w:rFonts w:ascii="Arial" w:hAnsi="Arial" w:hint="default"/>
      </w:rPr>
    </w:lvl>
    <w:lvl w:ilvl="8" w:tplc="73003046" w:tentative="1">
      <w:start w:val="1"/>
      <w:numFmt w:val="bullet"/>
      <w:lvlText w:val="•"/>
      <w:lvlJc w:val="left"/>
      <w:pPr>
        <w:tabs>
          <w:tab w:val="num" w:pos="6480"/>
        </w:tabs>
        <w:ind w:left="6480" w:hanging="360"/>
      </w:pPr>
      <w:rPr>
        <w:rFonts w:ascii="Arial" w:hAnsi="Arial" w:hint="default"/>
      </w:r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4052C0"/>
    <w:multiLevelType w:val="hybridMultilevel"/>
    <w:tmpl w:val="D11E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37AE3"/>
    <w:multiLevelType w:val="multilevel"/>
    <w:tmpl w:val="511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0">
    <w:nsid w:val="1AC6595D"/>
    <w:multiLevelType w:val="hybridMultilevel"/>
    <w:tmpl w:val="58147A28"/>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1">
    <w:nsid w:val="2213649A"/>
    <w:multiLevelType w:val="hybridMultilevel"/>
    <w:tmpl w:val="56C8B784"/>
    <w:lvl w:ilvl="0" w:tplc="EF146140">
      <w:start w:val="1"/>
      <w:numFmt w:val="bullet"/>
      <w:lvlText w:val=""/>
      <w:lvlJc w:val="left"/>
      <w:pPr>
        <w:tabs>
          <w:tab w:val="num" w:pos="720"/>
        </w:tabs>
        <w:ind w:left="720" w:hanging="360"/>
      </w:pPr>
      <w:rPr>
        <w:rFonts w:ascii="Wingdings" w:hAnsi="Wingdings" w:hint="default"/>
      </w:rPr>
    </w:lvl>
    <w:lvl w:ilvl="1" w:tplc="4DA4E540" w:tentative="1">
      <w:start w:val="1"/>
      <w:numFmt w:val="bullet"/>
      <w:lvlText w:val=""/>
      <w:lvlJc w:val="left"/>
      <w:pPr>
        <w:tabs>
          <w:tab w:val="num" w:pos="1440"/>
        </w:tabs>
        <w:ind w:left="1440" w:hanging="360"/>
      </w:pPr>
      <w:rPr>
        <w:rFonts w:ascii="Wingdings" w:hAnsi="Wingdings" w:hint="default"/>
      </w:rPr>
    </w:lvl>
    <w:lvl w:ilvl="2" w:tplc="64F45FD2">
      <w:start w:val="1"/>
      <w:numFmt w:val="bullet"/>
      <w:lvlText w:val=""/>
      <w:lvlJc w:val="left"/>
      <w:pPr>
        <w:tabs>
          <w:tab w:val="num" w:pos="2160"/>
        </w:tabs>
        <w:ind w:left="2160" w:hanging="360"/>
      </w:pPr>
      <w:rPr>
        <w:rFonts w:ascii="Wingdings" w:hAnsi="Wingdings" w:hint="default"/>
      </w:rPr>
    </w:lvl>
    <w:lvl w:ilvl="3" w:tplc="6FBCEBD8" w:tentative="1">
      <w:start w:val="1"/>
      <w:numFmt w:val="bullet"/>
      <w:lvlText w:val=""/>
      <w:lvlJc w:val="left"/>
      <w:pPr>
        <w:tabs>
          <w:tab w:val="num" w:pos="2880"/>
        </w:tabs>
        <w:ind w:left="2880" w:hanging="360"/>
      </w:pPr>
      <w:rPr>
        <w:rFonts w:ascii="Wingdings" w:hAnsi="Wingdings" w:hint="default"/>
      </w:rPr>
    </w:lvl>
    <w:lvl w:ilvl="4" w:tplc="58DE8F58" w:tentative="1">
      <w:start w:val="1"/>
      <w:numFmt w:val="bullet"/>
      <w:lvlText w:val=""/>
      <w:lvlJc w:val="left"/>
      <w:pPr>
        <w:tabs>
          <w:tab w:val="num" w:pos="3600"/>
        </w:tabs>
        <w:ind w:left="3600" w:hanging="360"/>
      </w:pPr>
      <w:rPr>
        <w:rFonts w:ascii="Wingdings" w:hAnsi="Wingdings" w:hint="default"/>
      </w:rPr>
    </w:lvl>
    <w:lvl w:ilvl="5" w:tplc="998047E4" w:tentative="1">
      <w:start w:val="1"/>
      <w:numFmt w:val="bullet"/>
      <w:lvlText w:val=""/>
      <w:lvlJc w:val="left"/>
      <w:pPr>
        <w:tabs>
          <w:tab w:val="num" w:pos="4320"/>
        </w:tabs>
        <w:ind w:left="4320" w:hanging="360"/>
      </w:pPr>
      <w:rPr>
        <w:rFonts w:ascii="Wingdings" w:hAnsi="Wingdings" w:hint="default"/>
      </w:rPr>
    </w:lvl>
    <w:lvl w:ilvl="6" w:tplc="8778916E" w:tentative="1">
      <w:start w:val="1"/>
      <w:numFmt w:val="bullet"/>
      <w:lvlText w:val=""/>
      <w:lvlJc w:val="left"/>
      <w:pPr>
        <w:tabs>
          <w:tab w:val="num" w:pos="5040"/>
        </w:tabs>
        <w:ind w:left="5040" w:hanging="360"/>
      </w:pPr>
      <w:rPr>
        <w:rFonts w:ascii="Wingdings" w:hAnsi="Wingdings" w:hint="default"/>
      </w:rPr>
    </w:lvl>
    <w:lvl w:ilvl="7" w:tplc="8CAC20D2" w:tentative="1">
      <w:start w:val="1"/>
      <w:numFmt w:val="bullet"/>
      <w:lvlText w:val=""/>
      <w:lvlJc w:val="left"/>
      <w:pPr>
        <w:tabs>
          <w:tab w:val="num" w:pos="5760"/>
        </w:tabs>
        <w:ind w:left="5760" w:hanging="360"/>
      </w:pPr>
      <w:rPr>
        <w:rFonts w:ascii="Wingdings" w:hAnsi="Wingdings" w:hint="default"/>
      </w:rPr>
    </w:lvl>
    <w:lvl w:ilvl="8" w:tplc="88188476" w:tentative="1">
      <w:start w:val="1"/>
      <w:numFmt w:val="bullet"/>
      <w:lvlText w:val=""/>
      <w:lvlJc w:val="left"/>
      <w:pPr>
        <w:tabs>
          <w:tab w:val="num" w:pos="6480"/>
        </w:tabs>
        <w:ind w:left="6480" w:hanging="360"/>
      </w:pPr>
      <w:rPr>
        <w:rFonts w:ascii="Wingdings" w:hAnsi="Wingdings" w:hint="default"/>
      </w:rPr>
    </w:lvl>
  </w:abstractNum>
  <w:abstractNum w:abstractNumId="22">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3BE4ED2"/>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7">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8">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A1F4115"/>
    <w:multiLevelType w:val="multilevel"/>
    <w:tmpl w:val="10E8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4BD72E55"/>
    <w:multiLevelType w:val="hybridMultilevel"/>
    <w:tmpl w:val="41A83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0756E1F"/>
    <w:multiLevelType w:val="multilevel"/>
    <w:tmpl w:val="C9AC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82EE6E24"/>
    <w:lvl w:ilvl="0">
      <w:start w:val="6"/>
      <w:numFmt w:val="decimal"/>
      <w:pStyle w:val="Heading1"/>
      <w:lvlText w:val="%1."/>
      <w:lvlJc w:val="left"/>
      <w:pPr>
        <w:ind w:left="70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E528FE"/>
    <w:multiLevelType w:val="multilevel"/>
    <w:tmpl w:val="C2A6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22263D6"/>
    <w:multiLevelType w:val="hybridMultilevel"/>
    <w:tmpl w:val="89482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57"/>
  </w:num>
  <w:num w:numId="3">
    <w:abstractNumId w:val="7"/>
  </w:num>
  <w:num w:numId="4">
    <w:abstractNumId w:val="8"/>
  </w:num>
  <w:num w:numId="5">
    <w:abstractNumId w:val="6"/>
  </w:num>
  <w:num w:numId="6">
    <w:abstractNumId w:val="5"/>
  </w:num>
  <w:num w:numId="7">
    <w:abstractNumId w:val="4"/>
  </w:num>
  <w:num w:numId="8">
    <w:abstractNumId w:val="3"/>
  </w:num>
  <w:num w:numId="9">
    <w:abstractNumId w:val="54"/>
  </w:num>
  <w:num w:numId="10">
    <w:abstractNumId w:val="2"/>
  </w:num>
  <w:num w:numId="11">
    <w:abstractNumId w:val="1"/>
  </w:num>
  <w:num w:numId="12">
    <w:abstractNumId w:val="0"/>
  </w:num>
  <w:num w:numId="13">
    <w:abstractNumId w:val="16"/>
  </w:num>
  <w:num w:numId="14">
    <w:abstractNumId w:val="39"/>
  </w:num>
  <w:num w:numId="15">
    <w:abstractNumId w:val="46"/>
  </w:num>
  <w:num w:numId="16">
    <w:abstractNumId w:val="31"/>
  </w:num>
  <w:num w:numId="17">
    <w:abstractNumId w:val="41"/>
  </w:num>
  <w:num w:numId="18">
    <w:abstractNumId w:val="9"/>
  </w:num>
  <w:num w:numId="19">
    <w:abstractNumId w:val="38"/>
  </w:num>
  <w:num w:numId="20">
    <w:abstractNumId w:val="13"/>
  </w:num>
  <w:num w:numId="21">
    <w:abstractNumId w:val="23"/>
  </w:num>
  <w:num w:numId="22">
    <w:abstractNumId w:val="29"/>
  </w:num>
  <w:num w:numId="23">
    <w:abstractNumId w:val="18"/>
  </w:num>
  <w:num w:numId="24">
    <w:abstractNumId w:val="45"/>
  </w:num>
  <w:num w:numId="25">
    <w:abstractNumId w:val="19"/>
  </w:num>
  <w:num w:numId="26">
    <w:abstractNumId w:val="26"/>
  </w:num>
  <w:num w:numId="27">
    <w:abstractNumId w:val="58"/>
  </w:num>
  <w:num w:numId="28">
    <w:abstractNumId w:val="44"/>
  </w:num>
  <w:num w:numId="29">
    <w:abstractNumId w:val="42"/>
  </w:num>
  <w:num w:numId="30">
    <w:abstractNumId w:val="17"/>
  </w:num>
  <w:num w:numId="31">
    <w:abstractNumId w:val="25"/>
  </w:num>
  <w:num w:numId="32">
    <w:abstractNumId w:val="43"/>
  </w:num>
  <w:num w:numId="33">
    <w:abstractNumId w:val="27"/>
  </w:num>
  <w:num w:numId="34">
    <w:abstractNumId w:val="55"/>
  </w:num>
  <w:num w:numId="35">
    <w:abstractNumId w:val="30"/>
  </w:num>
  <w:num w:numId="36">
    <w:abstractNumId w:val="49"/>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35"/>
  </w:num>
  <w:num w:numId="41">
    <w:abstractNumId w:val="51"/>
  </w:num>
  <w:num w:numId="42">
    <w:abstractNumId w:val="53"/>
  </w:num>
  <w:num w:numId="43">
    <w:abstractNumId w:val="22"/>
  </w:num>
  <w:num w:numId="44">
    <w:abstractNumId w:val="3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32"/>
  </w:num>
  <w:num w:numId="50">
    <w:abstractNumId w:val="24"/>
  </w:num>
  <w:num w:numId="51">
    <w:abstractNumId w:val="20"/>
  </w:num>
  <w:num w:numId="52">
    <w:abstractNumId w:val="11"/>
  </w:num>
  <w:num w:numId="53">
    <w:abstractNumId w:val="14"/>
  </w:num>
  <w:num w:numId="54">
    <w:abstractNumId w:val="21"/>
  </w:num>
  <w:num w:numId="55">
    <w:abstractNumId w:val="12"/>
  </w:num>
  <w:num w:numId="56">
    <w:abstractNumId w:val="47"/>
  </w:num>
  <w:num w:numId="57">
    <w:abstractNumId w:val="34"/>
  </w:num>
  <w:num w:numId="58">
    <w:abstractNumId w:val="10"/>
  </w:num>
  <w:num w:numId="59">
    <w:abstractNumId w:val="15"/>
  </w:num>
  <w:num w:numId="60">
    <w:abstractNumId w:val="40"/>
  </w:num>
  <w:num w:numId="61">
    <w:abstractNumId w:val="5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embedSystemFonts/>
  <w:proofState w:spelling="clean" w:grammar="clean"/>
  <w:stylePaneFormatFilter w:val="3F01"/>
  <w:trackRevisions/>
  <w:defaultTabStop w:val="720"/>
  <w:drawingGridHorizontalSpacing w:val="100"/>
  <w:displayHorizontalDrawingGridEvery w:val="2"/>
  <w:displayVerticalDrawingGridEvery w:val="2"/>
  <w:noPunctuationKerning/>
  <w:characterSpacingControl w:val="doNotCompress"/>
  <w:hdrShapeDefaults>
    <o:shapedefaults v:ext="edit" spidmax="35842"/>
  </w:hdrShapeDefaults>
  <w:footnotePr>
    <w:footnote w:id="-1"/>
    <w:footnote w:id="0"/>
  </w:footnotePr>
  <w:endnotePr>
    <w:endnote w:id="-1"/>
    <w:endnote w:id="0"/>
  </w:endnotePr>
  <w:compat/>
  <w:rsids>
    <w:rsidRoot w:val="00817727"/>
    <w:rsid w:val="0000056D"/>
    <w:rsid w:val="00003162"/>
    <w:rsid w:val="000039B7"/>
    <w:rsid w:val="00010371"/>
    <w:rsid w:val="00011AC5"/>
    <w:rsid w:val="00011F6D"/>
    <w:rsid w:val="00015DA0"/>
    <w:rsid w:val="00017744"/>
    <w:rsid w:val="000215A2"/>
    <w:rsid w:val="00023049"/>
    <w:rsid w:val="0002389E"/>
    <w:rsid w:val="000312CB"/>
    <w:rsid w:val="00031B0A"/>
    <w:rsid w:val="0003618C"/>
    <w:rsid w:val="000366F5"/>
    <w:rsid w:val="00036B43"/>
    <w:rsid w:val="0004267C"/>
    <w:rsid w:val="00042DF0"/>
    <w:rsid w:val="00047B68"/>
    <w:rsid w:val="00047E17"/>
    <w:rsid w:val="000527A0"/>
    <w:rsid w:val="00052E31"/>
    <w:rsid w:val="0006331B"/>
    <w:rsid w:val="00063333"/>
    <w:rsid w:val="00064AA1"/>
    <w:rsid w:val="00077F58"/>
    <w:rsid w:val="0008295B"/>
    <w:rsid w:val="00084F08"/>
    <w:rsid w:val="0008551C"/>
    <w:rsid w:val="00087B5B"/>
    <w:rsid w:val="00090AD4"/>
    <w:rsid w:val="00093351"/>
    <w:rsid w:val="000947FA"/>
    <w:rsid w:val="00095E95"/>
    <w:rsid w:val="000978AD"/>
    <w:rsid w:val="000A7791"/>
    <w:rsid w:val="000C0028"/>
    <w:rsid w:val="000D0858"/>
    <w:rsid w:val="000D2C0A"/>
    <w:rsid w:val="000D3768"/>
    <w:rsid w:val="000D4C1C"/>
    <w:rsid w:val="000E42F0"/>
    <w:rsid w:val="000F621B"/>
    <w:rsid w:val="00102937"/>
    <w:rsid w:val="00113F06"/>
    <w:rsid w:val="00115113"/>
    <w:rsid w:val="001154DB"/>
    <w:rsid w:val="00131D05"/>
    <w:rsid w:val="00136098"/>
    <w:rsid w:val="0013609D"/>
    <w:rsid w:val="001378D2"/>
    <w:rsid w:val="00145A37"/>
    <w:rsid w:val="001469A3"/>
    <w:rsid w:val="00146D87"/>
    <w:rsid w:val="00152882"/>
    <w:rsid w:val="00155044"/>
    <w:rsid w:val="00160FA6"/>
    <w:rsid w:val="00162ADD"/>
    <w:rsid w:val="001640A1"/>
    <w:rsid w:val="00166E8D"/>
    <w:rsid w:val="0018254B"/>
    <w:rsid w:val="00190DF8"/>
    <w:rsid w:val="001A38C7"/>
    <w:rsid w:val="001A447B"/>
    <w:rsid w:val="001A5512"/>
    <w:rsid w:val="001A5B24"/>
    <w:rsid w:val="001A7556"/>
    <w:rsid w:val="001C2C4B"/>
    <w:rsid w:val="001C3ADD"/>
    <w:rsid w:val="001C3F62"/>
    <w:rsid w:val="001D1900"/>
    <w:rsid w:val="001D5A67"/>
    <w:rsid w:val="001E0B44"/>
    <w:rsid w:val="001E628E"/>
    <w:rsid w:val="001F6011"/>
    <w:rsid w:val="002003E2"/>
    <w:rsid w:val="00205B86"/>
    <w:rsid w:val="002139FA"/>
    <w:rsid w:val="002142D1"/>
    <w:rsid w:val="0021710E"/>
    <w:rsid w:val="002323E6"/>
    <w:rsid w:val="00233444"/>
    <w:rsid w:val="002433DA"/>
    <w:rsid w:val="00255FC8"/>
    <w:rsid w:val="002664C7"/>
    <w:rsid w:val="00273346"/>
    <w:rsid w:val="00277E89"/>
    <w:rsid w:val="00277FAC"/>
    <w:rsid w:val="0028698C"/>
    <w:rsid w:val="002912AF"/>
    <w:rsid w:val="00296B80"/>
    <w:rsid w:val="002A2677"/>
    <w:rsid w:val="002A7CA2"/>
    <w:rsid w:val="002B0F29"/>
    <w:rsid w:val="002B6CE1"/>
    <w:rsid w:val="002B7015"/>
    <w:rsid w:val="002C052B"/>
    <w:rsid w:val="002C19F1"/>
    <w:rsid w:val="002C2ECA"/>
    <w:rsid w:val="002C4900"/>
    <w:rsid w:val="002C538A"/>
    <w:rsid w:val="002D7F0C"/>
    <w:rsid w:val="002E347A"/>
    <w:rsid w:val="002F668C"/>
    <w:rsid w:val="00300712"/>
    <w:rsid w:val="00302388"/>
    <w:rsid w:val="00302633"/>
    <w:rsid w:val="003042DD"/>
    <w:rsid w:val="00306E7F"/>
    <w:rsid w:val="00310B41"/>
    <w:rsid w:val="00312C9B"/>
    <w:rsid w:val="0031789B"/>
    <w:rsid w:val="00320DEA"/>
    <w:rsid w:val="00322493"/>
    <w:rsid w:val="00333D24"/>
    <w:rsid w:val="0035283D"/>
    <w:rsid w:val="00357231"/>
    <w:rsid w:val="00357354"/>
    <w:rsid w:val="00357888"/>
    <w:rsid w:val="003578AF"/>
    <w:rsid w:val="00363B8E"/>
    <w:rsid w:val="00366D2B"/>
    <w:rsid w:val="00370BF4"/>
    <w:rsid w:val="00370D04"/>
    <w:rsid w:val="00375CEF"/>
    <w:rsid w:val="003879E3"/>
    <w:rsid w:val="00387B23"/>
    <w:rsid w:val="00394930"/>
    <w:rsid w:val="003A16D3"/>
    <w:rsid w:val="003A3925"/>
    <w:rsid w:val="003B4FD5"/>
    <w:rsid w:val="003B6411"/>
    <w:rsid w:val="003B6FC7"/>
    <w:rsid w:val="003B7151"/>
    <w:rsid w:val="003D33D0"/>
    <w:rsid w:val="003D45E1"/>
    <w:rsid w:val="003D51A7"/>
    <w:rsid w:val="003D67DD"/>
    <w:rsid w:val="003E409C"/>
    <w:rsid w:val="003F04FB"/>
    <w:rsid w:val="003F5D91"/>
    <w:rsid w:val="00401CDC"/>
    <w:rsid w:val="00405743"/>
    <w:rsid w:val="00414F7F"/>
    <w:rsid w:val="00421584"/>
    <w:rsid w:val="00422B43"/>
    <w:rsid w:val="00424AF1"/>
    <w:rsid w:val="004404EF"/>
    <w:rsid w:val="00441D40"/>
    <w:rsid w:val="0044677B"/>
    <w:rsid w:val="00450804"/>
    <w:rsid w:val="00456C67"/>
    <w:rsid w:val="004603E7"/>
    <w:rsid w:val="004604E8"/>
    <w:rsid w:val="004614C5"/>
    <w:rsid w:val="0046216B"/>
    <w:rsid w:val="004676F5"/>
    <w:rsid w:val="0047081B"/>
    <w:rsid w:val="00470E57"/>
    <w:rsid w:val="0047106F"/>
    <w:rsid w:val="00486467"/>
    <w:rsid w:val="00492A6D"/>
    <w:rsid w:val="00497F94"/>
    <w:rsid w:val="004A2AD0"/>
    <w:rsid w:val="004A50C1"/>
    <w:rsid w:val="004A5215"/>
    <w:rsid w:val="004B18DC"/>
    <w:rsid w:val="004B443F"/>
    <w:rsid w:val="004B5F1C"/>
    <w:rsid w:val="004C284C"/>
    <w:rsid w:val="004C4F9B"/>
    <w:rsid w:val="004C5C5E"/>
    <w:rsid w:val="004D1099"/>
    <w:rsid w:val="004D5CE8"/>
    <w:rsid w:val="004D5EAE"/>
    <w:rsid w:val="004D611C"/>
    <w:rsid w:val="004E424A"/>
    <w:rsid w:val="004E74E7"/>
    <w:rsid w:val="004F0E95"/>
    <w:rsid w:val="004F0F5E"/>
    <w:rsid w:val="004F11E8"/>
    <w:rsid w:val="004F20F6"/>
    <w:rsid w:val="004F5EDE"/>
    <w:rsid w:val="00500282"/>
    <w:rsid w:val="0050353B"/>
    <w:rsid w:val="005104E4"/>
    <w:rsid w:val="00515CEE"/>
    <w:rsid w:val="00515F18"/>
    <w:rsid w:val="00523454"/>
    <w:rsid w:val="005267F4"/>
    <w:rsid w:val="0053717B"/>
    <w:rsid w:val="005417FD"/>
    <w:rsid w:val="00543278"/>
    <w:rsid w:val="00544263"/>
    <w:rsid w:val="00545368"/>
    <w:rsid w:val="00546E6F"/>
    <w:rsid w:val="00551115"/>
    <w:rsid w:val="00554835"/>
    <w:rsid w:val="00556248"/>
    <w:rsid w:val="005568C7"/>
    <w:rsid w:val="005569EA"/>
    <w:rsid w:val="00557478"/>
    <w:rsid w:val="0055747F"/>
    <w:rsid w:val="00565819"/>
    <w:rsid w:val="005707F4"/>
    <w:rsid w:val="00572688"/>
    <w:rsid w:val="005816BC"/>
    <w:rsid w:val="005857F3"/>
    <w:rsid w:val="00590C1B"/>
    <w:rsid w:val="0059521D"/>
    <w:rsid w:val="005A279A"/>
    <w:rsid w:val="005A3C30"/>
    <w:rsid w:val="005A4644"/>
    <w:rsid w:val="005B67FF"/>
    <w:rsid w:val="005C3453"/>
    <w:rsid w:val="005C3BDD"/>
    <w:rsid w:val="005D0532"/>
    <w:rsid w:val="005D1297"/>
    <w:rsid w:val="005D3ACE"/>
    <w:rsid w:val="005E07B9"/>
    <w:rsid w:val="005E0DD8"/>
    <w:rsid w:val="005F190A"/>
    <w:rsid w:val="005F64CB"/>
    <w:rsid w:val="005F6B13"/>
    <w:rsid w:val="0060016D"/>
    <w:rsid w:val="00601612"/>
    <w:rsid w:val="0060616D"/>
    <w:rsid w:val="00610C2F"/>
    <w:rsid w:val="00611A57"/>
    <w:rsid w:val="00613249"/>
    <w:rsid w:val="006142C1"/>
    <w:rsid w:val="00614868"/>
    <w:rsid w:val="00614996"/>
    <w:rsid w:val="00616EF2"/>
    <w:rsid w:val="00617815"/>
    <w:rsid w:val="006219E1"/>
    <w:rsid w:val="0062456A"/>
    <w:rsid w:val="00625B19"/>
    <w:rsid w:val="00635D2B"/>
    <w:rsid w:val="0064017D"/>
    <w:rsid w:val="0064694E"/>
    <w:rsid w:val="00647A5E"/>
    <w:rsid w:val="00652864"/>
    <w:rsid w:val="00655B14"/>
    <w:rsid w:val="00656B4E"/>
    <w:rsid w:val="00657FF1"/>
    <w:rsid w:val="00667D71"/>
    <w:rsid w:val="00672D87"/>
    <w:rsid w:val="00673BAB"/>
    <w:rsid w:val="00674EA4"/>
    <w:rsid w:val="00681DF0"/>
    <w:rsid w:val="006859A6"/>
    <w:rsid w:val="00686C71"/>
    <w:rsid w:val="00695C9B"/>
    <w:rsid w:val="006A4A51"/>
    <w:rsid w:val="006B4FB4"/>
    <w:rsid w:val="006C0A54"/>
    <w:rsid w:val="006C1F3D"/>
    <w:rsid w:val="006C2682"/>
    <w:rsid w:val="006C61FC"/>
    <w:rsid w:val="006C677D"/>
    <w:rsid w:val="006C6786"/>
    <w:rsid w:val="006C6FAC"/>
    <w:rsid w:val="006E07FE"/>
    <w:rsid w:val="006F12CE"/>
    <w:rsid w:val="006F4233"/>
    <w:rsid w:val="006F616A"/>
    <w:rsid w:val="00704A1F"/>
    <w:rsid w:val="0071113E"/>
    <w:rsid w:val="0071175B"/>
    <w:rsid w:val="00712D3C"/>
    <w:rsid w:val="007132A6"/>
    <w:rsid w:val="007146CC"/>
    <w:rsid w:val="00715BCE"/>
    <w:rsid w:val="0072677B"/>
    <w:rsid w:val="00732F92"/>
    <w:rsid w:val="007346CD"/>
    <w:rsid w:val="00737B04"/>
    <w:rsid w:val="00745BEA"/>
    <w:rsid w:val="0075694C"/>
    <w:rsid w:val="00757CA9"/>
    <w:rsid w:val="00775153"/>
    <w:rsid w:val="00775FD7"/>
    <w:rsid w:val="00786C2C"/>
    <w:rsid w:val="007957AE"/>
    <w:rsid w:val="007968BB"/>
    <w:rsid w:val="007B39DB"/>
    <w:rsid w:val="007B44D0"/>
    <w:rsid w:val="007B6D84"/>
    <w:rsid w:val="007C5746"/>
    <w:rsid w:val="007C5D6B"/>
    <w:rsid w:val="007C7E0E"/>
    <w:rsid w:val="007D10C6"/>
    <w:rsid w:val="007D23CF"/>
    <w:rsid w:val="007D3DF4"/>
    <w:rsid w:val="007D5EEC"/>
    <w:rsid w:val="007D758B"/>
    <w:rsid w:val="007D7BDB"/>
    <w:rsid w:val="007E23D3"/>
    <w:rsid w:val="007E5D3E"/>
    <w:rsid w:val="007F07FB"/>
    <w:rsid w:val="0080054C"/>
    <w:rsid w:val="008017DE"/>
    <w:rsid w:val="00804F87"/>
    <w:rsid w:val="00817727"/>
    <w:rsid w:val="00825092"/>
    <w:rsid w:val="00832245"/>
    <w:rsid w:val="00832E3D"/>
    <w:rsid w:val="0083425E"/>
    <w:rsid w:val="00835CC1"/>
    <w:rsid w:val="008436C8"/>
    <w:rsid w:val="008536EE"/>
    <w:rsid w:val="00856C68"/>
    <w:rsid w:val="00857B0E"/>
    <w:rsid w:val="00860CB6"/>
    <w:rsid w:val="00871802"/>
    <w:rsid w:val="00876541"/>
    <w:rsid w:val="00877900"/>
    <w:rsid w:val="00887CC2"/>
    <w:rsid w:val="00891598"/>
    <w:rsid w:val="008A0C1C"/>
    <w:rsid w:val="008B0110"/>
    <w:rsid w:val="008B2FE0"/>
    <w:rsid w:val="008B5C03"/>
    <w:rsid w:val="008B6659"/>
    <w:rsid w:val="008C1A81"/>
    <w:rsid w:val="008C227F"/>
    <w:rsid w:val="008C5212"/>
    <w:rsid w:val="008C569C"/>
    <w:rsid w:val="008C56E0"/>
    <w:rsid w:val="008C7F79"/>
    <w:rsid w:val="008C7FC4"/>
    <w:rsid w:val="008D017E"/>
    <w:rsid w:val="008D2EC1"/>
    <w:rsid w:val="008D4993"/>
    <w:rsid w:val="008D4C53"/>
    <w:rsid w:val="008D6AC5"/>
    <w:rsid w:val="008E1B81"/>
    <w:rsid w:val="008E54D8"/>
    <w:rsid w:val="008E5DD7"/>
    <w:rsid w:val="00900358"/>
    <w:rsid w:val="0090231C"/>
    <w:rsid w:val="00903B24"/>
    <w:rsid w:val="00904138"/>
    <w:rsid w:val="0092125B"/>
    <w:rsid w:val="009231A6"/>
    <w:rsid w:val="009336C4"/>
    <w:rsid w:val="009336C8"/>
    <w:rsid w:val="009435F2"/>
    <w:rsid w:val="009541E7"/>
    <w:rsid w:val="009634D2"/>
    <w:rsid w:val="00976509"/>
    <w:rsid w:val="00987D79"/>
    <w:rsid w:val="00992E21"/>
    <w:rsid w:val="009A15F0"/>
    <w:rsid w:val="009A3C05"/>
    <w:rsid w:val="009A61E3"/>
    <w:rsid w:val="009A6EC3"/>
    <w:rsid w:val="009A70F3"/>
    <w:rsid w:val="009A7AB7"/>
    <w:rsid w:val="009B1379"/>
    <w:rsid w:val="009B327A"/>
    <w:rsid w:val="009C05F3"/>
    <w:rsid w:val="009C14C0"/>
    <w:rsid w:val="009D7367"/>
    <w:rsid w:val="009D785E"/>
    <w:rsid w:val="009F0886"/>
    <w:rsid w:val="009F1A26"/>
    <w:rsid w:val="009F1D00"/>
    <w:rsid w:val="00A036DE"/>
    <w:rsid w:val="00A03C0B"/>
    <w:rsid w:val="00A05A7E"/>
    <w:rsid w:val="00A10119"/>
    <w:rsid w:val="00A13CC4"/>
    <w:rsid w:val="00A15081"/>
    <w:rsid w:val="00A26A56"/>
    <w:rsid w:val="00A3584C"/>
    <w:rsid w:val="00A36E9D"/>
    <w:rsid w:val="00A421DF"/>
    <w:rsid w:val="00A43DEE"/>
    <w:rsid w:val="00A50422"/>
    <w:rsid w:val="00A50A14"/>
    <w:rsid w:val="00A54EC8"/>
    <w:rsid w:val="00A667DB"/>
    <w:rsid w:val="00A724D1"/>
    <w:rsid w:val="00A777E2"/>
    <w:rsid w:val="00A80544"/>
    <w:rsid w:val="00A84BB0"/>
    <w:rsid w:val="00A8667A"/>
    <w:rsid w:val="00A949E4"/>
    <w:rsid w:val="00A9768C"/>
    <w:rsid w:val="00A97DDE"/>
    <w:rsid w:val="00AA5D37"/>
    <w:rsid w:val="00AB74CF"/>
    <w:rsid w:val="00AC2622"/>
    <w:rsid w:val="00AC5D4C"/>
    <w:rsid w:val="00AC6DAA"/>
    <w:rsid w:val="00AD157B"/>
    <w:rsid w:val="00AD69B4"/>
    <w:rsid w:val="00AE713F"/>
    <w:rsid w:val="00AF138E"/>
    <w:rsid w:val="00AF2C98"/>
    <w:rsid w:val="00B04310"/>
    <w:rsid w:val="00B0481C"/>
    <w:rsid w:val="00B16394"/>
    <w:rsid w:val="00B26507"/>
    <w:rsid w:val="00B3149D"/>
    <w:rsid w:val="00B372BF"/>
    <w:rsid w:val="00B52EF7"/>
    <w:rsid w:val="00B536A9"/>
    <w:rsid w:val="00B537A9"/>
    <w:rsid w:val="00B56879"/>
    <w:rsid w:val="00B57BC1"/>
    <w:rsid w:val="00B61E0E"/>
    <w:rsid w:val="00B62809"/>
    <w:rsid w:val="00B652AB"/>
    <w:rsid w:val="00B6596C"/>
    <w:rsid w:val="00B65FB1"/>
    <w:rsid w:val="00B74566"/>
    <w:rsid w:val="00B757E9"/>
    <w:rsid w:val="00B7661A"/>
    <w:rsid w:val="00B80F13"/>
    <w:rsid w:val="00BA05B6"/>
    <w:rsid w:val="00BB2BDA"/>
    <w:rsid w:val="00BB3C6E"/>
    <w:rsid w:val="00BB5DE7"/>
    <w:rsid w:val="00BC2445"/>
    <w:rsid w:val="00BC47C9"/>
    <w:rsid w:val="00BC742B"/>
    <w:rsid w:val="00BC774C"/>
    <w:rsid w:val="00BD55C2"/>
    <w:rsid w:val="00BD7267"/>
    <w:rsid w:val="00BE08FE"/>
    <w:rsid w:val="00BE265D"/>
    <w:rsid w:val="00BE4194"/>
    <w:rsid w:val="00BF3350"/>
    <w:rsid w:val="00BF3AC0"/>
    <w:rsid w:val="00BF47FB"/>
    <w:rsid w:val="00C02F6E"/>
    <w:rsid w:val="00C13FA1"/>
    <w:rsid w:val="00C14D75"/>
    <w:rsid w:val="00C219B8"/>
    <w:rsid w:val="00C2636F"/>
    <w:rsid w:val="00C33EB0"/>
    <w:rsid w:val="00C4025E"/>
    <w:rsid w:val="00C40541"/>
    <w:rsid w:val="00C40D1C"/>
    <w:rsid w:val="00C42557"/>
    <w:rsid w:val="00C428C3"/>
    <w:rsid w:val="00C43972"/>
    <w:rsid w:val="00C449D3"/>
    <w:rsid w:val="00C44F39"/>
    <w:rsid w:val="00C453D8"/>
    <w:rsid w:val="00C52D32"/>
    <w:rsid w:val="00C5544E"/>
    <w:rsid w:val="00C60702"/>
    <w:rsid w:val="00C6302A"/>
    <w:rsid w:val="00C67203"/>
    <w:rsid w:val="00C801D7"/>
    <w:rsid w:val="00C82073"/>
    <w:rsid w:val="00C83D10"/>
    <w:rsid w:val="00C85CCB"/>
    <w:rsid w:val="00C86265"/>
    <w:rsid w:val="00C91EF3"/>
    <w:rsid w:val="00C93AC1"/>
    <w:rsid w:val="00C942D9"/>
    <w:rsid w:val="00CB3FFF"/>
    <w:rsid w:val="00CB5502"/>
    <w:rsid w:val="00CB77D0"/>
    <w:rsid w:val="00CC60DE"/>
    <w:rsid w:val="00CC6172"/>
    <w:rsid w:val="00CC7325"/>
    <w:rsid w:val="00CD206C"/>
    <w:rsid w:val="00CE2A43"/>
    <w:rsid w:val="00CE4A0A"/>
    <w:rsid w:val="00CE6780"/>
    <w:rsid w:val="00CE76D2"/>
    <w:rsid w:val="00CF627C"/>
    <w:rsid w:val="00CF7229"/>
    <w:rsid w:val="00D01E3B"/>
    <w:rsid w:val="00D06987"/>
    <w:rsid w:val="00D24297"/>
    <w:rsid w:val="00D311E4"/>
    <w:rsid w:val="00D3343A"/>
    <w:rsid w:val="00D34C98"/>
    <w:rsid w:val="00D417E5"/>
    <w:rsid w:val="00D51FD9"/>
    <w:rsid w:val="00D55782"/>
    <w:rsid w:val="00D5748A"/>
    <w:rsid w:val="00D61063"/>
    <w:rsid w:val="00D70AA6"/>
    <w:rsid w:val="00D72327"/>
    <w:rsid w:val="00D75B38"/>
    <w:rsid w:val="00D76A74"/>
    <w:rsid w:val="00D82162"/>
    <w:rsid w:val="00D863F4"/>
    <w:rsid w:val="00D8772E"/>
    <w:rsid w:val="00D93DD4"/>
    <w:rsid w:val="00D947A4"/>
    <w:rsid w:val="00DA07D6"/>
    <w:rsid w:val="00DA0FDC"/>
    <w:rsid w:val="00DA23E1"/>
    <w:rsid w:val="00DB3154"/>
    <w:rsid w:val="00DD297B"/>
    <w:rsid w:val="00DD5240"/>
    <w:rsid w:val="00DD6E84"/>
    <w:rsid w:val="00DE0916"/>
    <w:rsid w:val="00DE7CA2"/>
    <w:rsid w:val="00DF1FA4"/>
    <w:rsid w:val="00DF4FAB"/>
    <w:rsid w:val="00DF764E"/>
    <w:rsid w:val="00DF79ED"/>
    <w:rsid w:val="00E00090"/>
    <w:rsid w:val="00E05646"/>
    <w:rsid w:val="00E07D66"/>
    <w:rsid w:val="00E1271D"/>
    <w:rsid w:val="00E20D7E"/>
    <w:rsid w:val="00E348D5"/>
    <w:rsid w:val="00E417B5"/>
    <w:rsid w:val="00E43EAA"/>
    <w:rsid w:val="00E47846"/>
    <w:rsid w:val="00E6038A"/>
    <w:rsid w:val="00E611A8"/>
    <w:rsid w:val="00E624C9"/>
    <w:rsid w:val="00E66ABD"/>
    <w:rsid w:val="00E70294"/>
    <w:rsid w:val="00E70BA9"/>
    <w:rsid w:val="00E74035"/>
    <w:rsid w:val="00E76758"/>
    <w:rsid w:val="00E8031C"/>
    <w:rsid w:val="00E80BF8"/>
    <w:rsid w:val="00E82D7D"/>
    <w:rsid w:val="00E83A8E"/>
    <w:rsid w:val="00E84557"/>
    <w:rsid w:val="00E85984"/>
    <w:rsid w:val="00E91141"/>
    <w:rsid w:val="00E95E0A"/>
    <w:rsid w:val="00EA3D8D"/>
    <w:rsid w:val="00EA6939"/>
    <w:rsid w:val="00EA7362"/>
    <w:rsid w:val="00EB0776"/>
    <w:rsid w:val="00EB273B"/>
    <w:rsid w:val="00EB2831"/>
    <w:rsid w:val="00EB34C9"/>
    <w:rsid w:val="00EB372E"/>
    <w:rsid w:val="00EB7B23"/>
    <w:rsid w:val="00EC1144"/>
    <w:rsid w:val="00EC13CB"/>
    <w:rsid w:val="00ED0D84"/>
    <w:rsid w:val="00ED44EE"/>
    <w:rsid w:val="00EE180F"/>
    <w:rsid w:val="00EE189D"/>
    <w:rsid w:val="00EE4431"/>
    <w:rsid w:val="00EE4573"/>
    <w:rsid w:val="00EF1BA0"/>
    <w:rsid w:val="00EF649C"/>
    <w:rsid w:val="00F01C92"/>
    <w:rsid w:val="00F0333A"/>
    <w:rsid w:val="00F054E2"/>
    <w:rsid w:val="00F060E4"/>
    <w:rsid w:val="00F11B17"/>
    <w:rsid w:val="00F153DF"/>
    <w:rsid w:val="00F15E3B"/>
    <w:rsid w:val="00F16E60"/>
    <w:rsid w:val="00F20AF7"/>
    <w:rsid w:val="00F233E1"/>
    <w:rsid w:val="00F3476F"/>
    <w:rsid w:val="00F3539C"/>
    <w:rsid w:val="00F4133B"/>
    <w:rsid w:val="00F45A9C"/>
    <w:rsid w:val="00F462AD"/>
    <w:rsid w:val="00F47D92"/>
    <w:rsid w:val="00F47EB4"/>
    <w:rsid w:val="00F52094"/>
    <w:rsid w:val="00F536A8"/>
    <w:rsid w:val="00F546E6"/>
    <w:rsid w:val="00F579CB"/>
    <w:rsid w:val="00F64657"/>
    <w:rsid w:val="00F67968"/>
    <w:rsid w:val="00F76E14"/>
    <w:rsid w:val="00F8572F"/>
    <w:rsid w:val="00F85E91"/>
    <w:rsid w:val="00F90AFF"/>
    <w:rsid w:val="00F9525A"/>
    <w:rsid w:val="00F96048"/>
    <w:rsid w:val="00FA2C79"/>
    <w:rsid w:val="00FA3521"/>
    <w:rsid w:val="00FB7AD5"/>
    <w:rsid w:val="00FC3DD8"/>
    <w:rsid w:val="00FC4B0D"/>
    <w:rsid w:val="00FD43DF"/>
    <w:rsid w:val="00FD6FF7"/>
    <w:rsid w:val="00FE1DFF"/>
    <w:rsid w:val="00FE564B"/>
    <w:rsid w:val="00FE5CDB"/>
    <w:rsid w:val="00FF7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E20D7E"/>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E20D7E"/>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r="http://schemas.openxmlformats.org/officeDocument/2006/relationships" xmlns:w="http://schemas.openxmlformats.org/wordprocessingml/2006/main">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432288582">
      <w:bodyDiv w:val="1"/>
      <w:marLeft w:val="0"/>
      <w:marRight w:val="0"/>
      <w:marTop w:val="0"/>
      <w:marBottom w:val="0"/>
      <w:divBdr>
        <w:top w:val="none" w:sz="0" w:space="0" w:color="auto"/>
        <w:left w:val="none" w:sz="0" w:space="0" w:color="auto"/>
        <w:bottom w:val="none" w:sz="0" w:space="0" w:color="auto"/>
        <w:right w:val="none" w:sz="0" w:space="0" w:color="auto"/>
      </w:divBdr>
      <w:divsChild>
        <w:div w:id="20016186">
          <w:marLeft w:val="1181"/>
          <w:marRight w:val="0"/>
          <w:marTop w:val="240"/>
          <w:marBottom w:val="0"/>
          <w:divBdr>
            <w:top w:val="none" w:sz="0" w:space="0" w:color="auto"/>
            <w:left w:val="none" w:sz="0" w:space="0" w:color="auto"/>
            <w:bottom w:val="none" w:sz="0" w:space="0" w:color="auto"/>
            <w:right w:val="none" w:sz="0" w:space="0" w:color="auto"/>
          </w:divBdr>
        </w:div>
      </w:divsChild>
    </w:div>
    <w:div w:id="808060473">
      <w:bodyDiv w:val="1"/>
      <w:marLeft w:val="0"/>
      <w:marRight w:val="0"/>
      <w:marTop w:val="0"/>
      <w:marBottom w:val="0"/>
      <w:divBdr>
        <w:top w:val="none" w:sz="0" w:space="0" w:color="auto"/>
        <w:left w:val="none" w:sz="0" w:space="0" w:color="auto"/>
        <w:bottom w:val="none" w:sz="0" w:space="0" w:color="auto"/>
        <w:right w:val="none" w:sz="0" w:space="0" w:color="auto"/>
      </w:divBdr>
    </w:div>
    <w:div w:id="902713945">
      <w:bodyDiv w:val="1"/>
      <w:marLeft w:val="0"/>
      <w:marRight w:val="0"/>
      <w:marTop w:val="0"/>
      <w:marBottom w:val="0"/>
      <w:divBdr>
        <w:top w:val="none" w:sz="0" w:space="0" w:color="auto"/>
        <w:left w:val="none" w:sz="0" w:space="0" w:color="auto"/>
        <w:bottom w:val="none" w:sz="0" w:space="0" w:color="auto"/>
        <w:right w:val="none" w:sz="0" w:space="0" w:color="auto"/>
      </w:divBdr>
      <w:divsChild>
        <w:div w:id="707803505">
          <w:marLeft w:val="274"/>
          <w:marRight w:val="0"/>
          <w:marTop w:val="60"/>
          <w:marBottom w:val="0"/>
          <w:divBdr>
            <w:top w:val="none" w:sz="0" w:space="0" w:color="auto"/>
            <w:left w:val="none" w:sz="0" w:space="0" w:color="auto"/>
            <w:bottom w:val="none" w:sz="0" w:space="0" w:color="auto"/>
            <w:right w:val="none" w:sz="0" w:space="0" w:color="auto"/>
          </w:divBdr>
        </w:div>
      </w:divsChild>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53052077">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politz\AppData\Local\Temp\ken.politz@neustar.bi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DB33-871A-4A7E-8F85-79CA2AE8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12559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Ken Politz</dc:creator>
  <cp:lastModifiedBy>Ken Politz</cp:lastModifiedBy>
  <cp:revision>43</cp:revision>
  <cp:lastPrinted>2014-08-20T11:06:00Z</cp:lastPrinted>
  <dcterms:created xsi:type="dcterms:W3CDTF">2014-09-08T16:00:00Z</dcterms:created>
  <dcterms:modified xsi:type="dcterms:W3CDTF">2014-09-11T15:06:00Z</dcterms:modified>
</cp:coreProperties>
</file>