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F63" w:rsidRDefault="00373F63" w:rsidP="00D65338">
      <w:pPr>
        <w:adjustRightInd w:val="0"/>
        <w:rPr>
          <w:rFonts w:eastAsia="SimSun"/>
          <w:color w:val="000000"/>
          <w:lang w:eastAsia="zh-CN" w:bidi="he-IL"/>
        </w:rPr>
      </w:pPr>
    </w:p>
    <w:p w:rsidR="00ED0838" w:rsidRDefault="00ED0838" w:rsidP="00D65338">
      <w:pPr>
        <w:adjustRightInd w:val="0"/>
        <w:rPr>
          <w:rFonts w:eastAsia="SimSun"/>
          <w:color w:val="000000"/>
          <w:lang w:eastAsia="zh-CN" w:bidi="he-IL"/>
        </w:rPr>
      </w:pPr>
    </w:p>
    <w:p w:rsidR="00D65338" w:rsidRDefault="00D65338" w:rsidP="00D65338">
      <w:pPr>
        <w:adjustRightInd w:val="0"/>
        <w:rPr>
          <w:rFonts w:eastAsia="SimSun"/>
          <w:color w:val="000000"/>
          <w:lang w:eastAsia="zh-CN" w:bidi="he-IL"/>
        </w:rPr>
      </w:pPr>
      <w:r>
        <w:rPr>
          <w:rFonts w:eastAsia="SimSun"/>
          <w:color w:val="000000"/>
          <w:lang w:eastAsia="zh-CN" w:bidi="he-IL"/>
        </w:rPr>
        <w:t>ATIS/SIP Forum NNI Task Force</w:t>
      </w:r>
      <w:r w:rsidR="00BF26DA">
        <w:rPr>
          <w:rFonts w:eastAsia="SimSun"/>
          <w:color w:val="000000"/>
          <w:lang w:eastAsia="zh-CN" w:bidi="he-IL"/>
        </w:rPr>
        <w:tab/>
      </w:r>
      <w:r w:rsidR="00BF26DA">
        <w:rPr>
          <w:rFonts w:eastAsia="SimSun"/>
          <w:color w:val="000000"/>
          <w:lang w:eastAsia="zh-CN" w:bidi="he-IL"/>
        </w:rPr>
        <w:tab/>
      </w:r>
      <w:r w:rsidR="00BF26DA">
        <w:rPr>
          <w:rFonts w:eastAsia="SimSun"/>
          <w:color w:val="000000"/>
          <w:lang w:eastAsia="zh-CN" w:bidi="he-IL"/>
        </w:rPr>
        <w:tab/>
      </w:r>
      <w:r w:rsidR="00BF26DA">
        <w:rPr>
          <w:rFonts w:eastAsia="SimSun"/>
          <w:color w:val="000000"/>
          <w:lang w:eastAsia="zh-CN" w:bidi="he-IL"/>
        </w:rPr>
        <w:tab/>
      </w:r>
      <w:r w:rsidR="00BF26DA">
        <w:rPr>
          <w:rFonts w:eastAsia="SimSun"/>
          <w:color w:val="000000"/>
          <w:lang w:eastAsia="zh-CN" w:bidi="he-IL"/>
        </w:rPr>
        <w:tab/>
      </w:r>
      <w:r w:rsidR="00BF26DA">
        <w:rPr>
          <w:rFonts w:eastAsia="SimSun"/>
          <w:color w:val="000000"/>
          <w:lang w:eastAsia="zh-CN" w:bidi="he-IL"/>
        </w:rPr>
        <w:tab/>
      </w:r>
      <w:r w:rsidR="00BF26DA">
        <w:rPr>
          <w:rFonts w:eastAsia="SimSun"/>
          <w:color w:val="000000"/>
          <w:lang w:eastAsia="zh-CN" w:bidi="he-IL"/>
        </w:rPr>
        <w:tab/>
        <w:t>IPNNI-2014-000</w:t>
      </w:r>
      <w:r w:rsidR="00C25844">
        <w:rPr>
          <w:rFonts w:eastAsia="SimSun"/>
          <w:color w:val="000000"/>
          <w:lang w:eastAsia="zh-CN" w:bidi="he-IL"/>
        </w:rPr>
        <w:t>88</w:t>
      </w:r>
      <w:r w:rsidR="00251D8E">
        <w:rPr>
          <w:rFonts w:eastAsia="SimSun"/>
          <w:color w:val="000000"/>
          <w:lang w:eastAsia="zh-CN" w:bidi="he-IL"/>
        </w:rPr>
        <w:t>R000</w:t>
      </w:r>
      <w:r>
        <w:rPr>
          <w:rFonts w:eastAsia="SimSun"/>
          <w:color w:val="000000"/>
          <w:lang w:eastAsia="zh-CN" w:bidi="he-IL"/>
        </w:rPr>
        <w:br/>
      </w:r>
      <w:r w:rsidR="00934829">
        <w:rPr>
          <w:rFonts w:eastAsia="SimSun"/>
          <w:color w:val="000000"/>
          <w:lang w:eastAsia="zh-CN" w:bidi="he-IL"/>
        </w:rPr>
        <w:t>September</w:t>
      </w:r>
      <w:r>
        <w:rPr>
          <w:rFonts w:eastAsia="SimSun"/>
          <w:color w:val="000000"/>
          <w:lang w:eastAsia="zh-CN" w:bidi="he-IL"/>
        </w:rPr>
        <w:t xml:space="preserve"> </w:t>
      </w:r>
      <w:r w:rsidR="00D85F1A">
        <w:rPr>
          <w:rFonts w:eastAsia="SimSun"/>
          <w:color w:val="000000"/>
          <w:lang w:eastAsia="zh-CN" w:bidi="he-IL"/>
        </w:rPr>
        <w:t>4</w:t>
      </w:r>
      <w:r>
        <w:rPr>
          <w:rFonts w:eastAsia="SimSun"/>
          <w:color w:val="000000"/>
          <w:lang w:eastAsia="zh-CN" w:bidi="he-IL"/>
        </w:rPr>
        <w:t>, 2014</w:t>
      </w:r>
    </w:p>
    <w:p w:rsidR="00D65338" w:rsidRDefault="00D65338" w:rsidP="00D65338">
      <w:pPr>
        <w:autoSpaceDE w:val="0"/>
        <w:autoSpaceDN w:val="0"/>
        <w:adjustRightInd w:val="0"/>
        <w:ind w:right="20"/>
        <w:jc w:val="center"/>
        <w:rPr>
          <w:rFonts w:eastAsia="Times New Roman"/>
          <w:lang w:eastAsia="ja-JP"/>
        </w:rPr>
      </w:pPr>
      <w:r>
        <w:rPr>
          <w:b/>
          <w:bCs/>
          <w:color w:val="000000"/>
        </w:rPr>
        <w:t xml:space="preserve">Contribution </w:t>
      </w:r>
    </w:p>
    <w:p w:rsidR="00D65338" w:rsidRDefault="00D65338" w:rsidP="00D65338">
      <w:r>
        <w:rPr>
          <w:b/>
          <w:bCs/>
          <w:color w:val="000000"/>
        </w:rPr>
        <w:t xml:space="preserve">TITLE: </w:t>
      </w:r>
      <w:r w:rsidR="00C52168">
        <w:rPr>
          <w:bCs/>
          <w:color w:val="000000"/>
        </w:rPr>
        <w:t>P</w:t>
      </w:r>
      <w:r w:rsidR="00FA6F3B">
        <w:rPr>
          <w:bCs/>
          <w:color w:val="000000"/>
        </w:rPr>
        <w:t xml:space="preserve">er-TN </w:t>
      </w:r>
      <w:r w:rsidR="00C52168">
        <w:rPr>
          <w:bCs/>
          <w:color w:val="000000"/>
        </w:rPr>
        <w:t xml:space="preserve">Implementation </w:t>
      </w:r>
      <w:r w:rsidR="00D72D3B">
        <w:rPr>
          <w:bCs/>
          <w:color w:val="000000"/>
        </w:rPr>
        <w:t>–</w:t>
      </w:r>
      <w:r w:rsidR="00C52168">
        <w:rPr>
          <w:bCs/>
          <w:color w:val="000000"/>
        </w:rPr>
        <w:t xml:space="preserve"> </w:t>
      </w:r>
      <w:r w:rsidR="00D72D3B">
        <w:rPr>
          <w:bCs/>
          <w:color w:val="000000"/>
        </w:rPr>
        <w:t xml:space="preserve">Query </w:t>
      </w:r>
      <w:r w:rsidR="00131E71">
        <w:rPr>
          <w:bCs/>
          <w:color w:val="000000"/>
        </w:rPr>
        <w:t xml:space="preserve">Using Independent </w:t>
      </w:r>
      <w:r w:rsidR="00687BD2">
        <w:rPr>
          <w:bCs/>
          <w:color w:val="000000"/>
        </w:rPr>
        <w:t>Service Bureaus</w:t>
      </w:r>
      <w:r w:rsidR="00151CD4">
        <w:rPr>
          <w:bCs/>
          <w:color w:val="000000"/>
        </w:rPr>
        <w:t xml:space="preserve"> </w:t>
      </w:r>
      <w:r>
        <w:rPr>
          <w:bCs/>
          <w:color w:val="000000"/>
        </w:rPr>
        <w:t xml:space="preserve"> </w:t>
      </w:r>
    </w:p>
    <w:p w:rsidR="00D65338" w:rsidRDefault="00D65338" w:rsidP="00D65338">
      <w:r>
        <w:rPr>
          <w:b/>
          <w:bCs/>
          <w:color w:val="000000"/>
        </w:rPr>
        <w:t>SOURCE*: Verizon</w:t>
      </w:r>
    </w:p>
    <w:p w:rsidR="00D65338" w:rsidRDefault="00D65338" w:rsidP="00D65338">
      <w:pPr>
        <w:autoSpaceDE w:val="0"/>
        <w:autoSpaceDN w:val="0"/>
        <w:adjustRightInd w:val="0"/>
        <w:ind w:right="20"/>
        <w:jc w:val="center"/>
      </w:pPr>
      <w:r>
        <w:rPr>
          <w:b/>
          <w:bCs/>
          <w:color w:val="000000"/>
        </w:rPr>
        <w:t xml:space="preserve">_______________________________ </w:t>
      </w:r>
    </w:p>
    <w:p w:rsidR="00D65338" w:rsidRDefault="00D65338" w:rsidP="00D65338">
      <w:pPr>
        <w:autoSpaceDE w:val="0"/>
        <w:autoSpaceDN w:val="0"/>
        <w:adjustRightInd w:val="0"/>
        <w:ind w:right="20"/>
        <w:jc w:val="center"/>
      </w:pPr>
      <w:r>
        <w:rPr>
          <w:b/>
          <w:bCs/>
          <w:color w:val="000000"/>
        </w:rPr>
        <w:t xml:space="preserve">ABSTRACT </w:t>
      </w:r>
    </w:p>
    <w:p w:rsidR="00292350" w:rsidRDefault="00D65338" w:rsidP="00D65338">
      <w:pPr>
        <w:autoSpaceDE w:val="0"/>
        <w:autoSpaceDN w:val="0"/>
        <w:adjustRightInd w:val="0"/>
        <w:ind w:right="20"/>
        <w:jc w:val="center"/>
        <w:rPr>
          <w:bCs/>
          <w:color w:val="000000"/>
        </w:rPr>
      </w:pPr>
      <w:r>
        <w:rPr>
          <w:bCs/>
          <w:color w:val="000000"/>
        </w:rPr>
        <w:t xml:space="preserve">This document describes </w:t>
      </w:r>
      <w:r w:rsidR="00BB0296">
        <w:rPr>
          <w:bCs/>
          <w:color w:val="000000"/>
        </w:rPr>
        <w:t xml:space="preserve">three approaches </w:t>
      </w:r>
      <w:r w:rsidR="009A3943">
        <w:rPr>
          <w:bCs/>
          <w:color w:val="000000"/>
        </w:rPr>
        <w:t>SPs choosing to implement the per-TN method can use today</w:t>
      </w:r>
      <w:r w:rsidR="00BB0296">
        <w:rPr>
          <w:bCs/>
          <w:color w:val="000000"/>
        </w:rPr>
        <w:t xml:space="preserve"> that </w:t>
      </w:r>
      <w:r w:rsidR="009A3943">
        <w:rPr>
          <w:bCs/>
          <w:color w:val="000000"/>
        </w:rPr>
        <w:t xml:space="preserve">does not require </w:t>
      </w:r>
      <w:r w:rsidR="00C51DA3">
        <w:rPr>
          <w:bCs/>
          <w:color w:val="000000"/>
        </w:rPr>
        <w:t xml:space="preserve">changes to or the creation of </w:t>
      </w:r>
      <w:r w:rsidR="00AC1A35">
        <w:rPr>
          <w:bCs/>
          <w:color w:val="000000"/>
        </w:rPr>
        <w:t xml:space="preserve">a </w:t>
      </w:r>
      <w:r w:rsidR="009A3943">
        <w:rPr>
          <w:bCs/>
          <w:color w:val="000000"/>
        </w:rPr>
        <w:t xml:space="preserve">common </w:t>
      </w:r>
      <w:r w:rsidR="003F43D2">
        <w:rPr>
          <w:bCs/>
          <w:color w:val="000000"/>
        </w:rPr>
        <w:t xml:space="preserve">shared </w:t>
      </w:r>
      <w:r w:rsidR="009A3943">
        <w:rPr>
          <w:bCs/>
          <w:color w:val="000000"/>
        </w:rPr>
        <w:t>industry infrastructure</w:t>
      </w:r>
      <w:r w:rsidR="00C51DA3">
        <w:rPr>
          <w:bCs/>
          <w:color w:val="000000"/>
        </w:rPr>
        <w:t>.</w:t>
      </w:r>
      <w:r w:rsidR="00BB0296">
        <w:rPr>
          <w:bCs/>
          <w:color w:val="000000"/>
        </w:rPr>
        <w:t xml:space="preserve"> </w:t>
      </w:r>
      <w:r w:rsidR="00151CD4">
        <w:rPr>
          <w:bCs/>
          <w:color w:val="000000"/>
        </w:rPr>
        <w:t xml:space="preserve"> </w:t>
      </w:r>
      <w:r w:rsidR="0058747A">
        <w:rPr>
          <w:bCs/>
          <w:color w:val="000000"/>
        </w:rPr>
        <w:t xml:space="preserve">With the </w:t>
      </w:r>
      <w:r w:rsidR="00AC1A35">
        <w:rPr>
          <w:bCs/>
          <w:color w:val="000000"/>
        </w:rPr>
        <w:t>us</w:t>
      </w:r>
      <w:r w:rsidR="00292350">
        <w:rPr>
          <w:bCs/>
          <w:color w:val="000000"/>
        </w:rPr>
        <w:t xml:space="preserve">e </w:t>
      </w:r>
      <w:r w:rsidR="0058747A">
        <w:rPr>
          <w:bCs/>
          <w:color w:val="000000"/>
        </w:rPr>
        <w:t xml:space="preserve">of independent Service Bureaus for Query </w:t>
      </w:r>
      <w:r w:rsidR="009A28F4">
        <w:rPr>
          <w:bCs/>
          <w:color w:val="000000"/>
        </w:rPr>
        <w:t xml:space="preserve">(this contribution) </w:t>
      </w:r>
      <w:r w:rsidR="003F43D2">
        <w:rPr>
          <w:bCs/>
          <w:color w:val="000000"/>
        </w:rPr>
        <w:t>and/</w:t>
      </w:r>
      <w:r w:rsidR="0058747A">
        <w:rPr>
          <w:bCs/>
          <w:color w:val="000000"/>
        </w:rPr>
        <w:t>or Zone Transfer</w:t>
      </w:r>
      <w:r w:rsidR="009A28F4">
        <w:rPr>
          <w:bCs/>
          <w:color w:val="000000"/>
        </w:rPr>
        <w:t xml:space="preserve"> (see IPNNI</w:t>
      </w:r>
      <w:r w:rsidR="009146DA">
        <w:rPr>
          <w:bCs/>
          <w:color w:val="000000"/>
        </w:rPr>
        <w:t xml:space="preserve"> outline Section 5.5</w:t>
      </w:r>
      <w:r w:rsidR="009A28F4">
        <w:rPr>
          <w:bCs/>
          <w:color w:val="000000"/>
        </w:rPr>
        <w:t xml:space="preserve">) </w:t>
      </w:r>
      <w:r w:rsidR="0058747A">
        <w:rPr>
          <w:bCs/>
          <w:color w:val="000000"/>
        </w:rPr>
        <w:t xml:space="preserve"> of routing data, SPs may </w:t>
      </w:r>
      <w:r w:rsidR="009A28F4">
        <w:rPr>
          <w:bCs/>
          <w:color w:val="000000"/>
        </w:rPr>
        <w:t>“</w:t>
      </w:r>
      <w:r w:rsidR="0058747A">
        <w:rPr>
          <w:bCs/>
          <w:color w:val="000000"/>
        </w:rPr>
        <w:t>opt-in</w:t>
      </w:r>
      <w:r w:rsidR="009A28F4">
        <w:rPr>
          <w:bCs/>
          <w:color w:val="000000"/>
        </w:rPr>
        <w:t>”</w:t>
      </w:r>
      <w:r w:rsidR="0058747A">
        <w:rPr>
          <w:bCs/>
          <w:color w:val="000000"/>
        </w:rPr>
        <w:t xml:space="preserve"> to the per-TN method</w:t>
      </w:r>
      <w:r w:rsidR="00156159">
        <w:rPr>
          <w:bCs/>
          <w:color w:val="000000"/>
        </w:rPr>
        <w:t xml:space="preserve"> </w:t>
      </w:r>
      <w:r w:rsidR="00292350">
        <w:rPr>
          <w:bCs/>
          <w:color w:val="000000"/>
        </w:rPr>
        <w:t>as an initial routing solution</w:t>
      </w:r>
      <w:r w:rsidR="00AC1A35">
        <w:rPr>
          <w:bCs/>
          <w:color w:val="000000"/>
        </w:rPr>
        <w:t xml:space="preserve">, or to complement </w:t>
      </w:r>
      <w:r w:rsidR="00FD62F7">
        <w:rPr>
          <w:bCs/>
          <w:color w:val="000000"/>
        </w:rPr>
        <w:t xml:space="preserve">an </w:t>
      </w:r>
      <w:r w:rsidR="00AC1A35">
        <w:rPr>
          <w:bCs/>
          <w:color w:val="000000"/>
        </w:rPr>
        <w:t>existing routing method</w:t>
      </w:r>
      <w:r w:rsidR="0058747A">
        <w:rPr>
          <w:bCs/>
          <w:color w:val="000000"/>
        </w:rPr>
        <w:t>.</w:t>
      </w:r>
      <w:r w:rsidR="003F43D2">
        <w:rPr>
          <w:bCs/>
          <w:color w:val="000000"/>
        </w:rPr>
        <w:t xml:space="preserve"> </w:t>
      </w:r>
    </w:p>
    <w:p w:rsidR="00350565" w:rsidRDefault="003F43D2" w:rsidP="00D65338">
      <w:pPr>
        <w:autoSpaceDE w:val="0"/>
        <w:autoSpaceDN w:val="0"/>
        <w:adjustRightInd w:val="0"/>
        <w:ind w:right="20"/>
        <w:jc w:val="center"/>
        <w:rPr>
          <w:bCs/>
          <w:color w:val="000000"/>
        </w:rPr>
      </w:pPr>
      <w:r>
        <w:rPr>
          <w:bCs/>
          <w:color w:val="000000"/>
        </w:rPr>
        <w:t xml:space="preserve">The ability </w:t>
      </w:r>
      <w:r w:rsidR="009A28F4">
        <w:rPr>
          <w:bCs/>
          <w:color w:val="000000"/>
        </w:rPr>
        <w:t xml:space="preserve">for SPs </w:t>
      </w:r>
      <w:r>
        <w:rPr>
          <w:bCs/>
          <w:color w:val="000000"/>
        </w:rPr>
        <w:t xml:space="preserve">to independently implement </w:t>
      </w:r>
      <w:r w:rsidR="00156159">
        <w:rPr>
          <w:bCs/>
          <w:color w:val="000000"/>
        </w:rPr>
        <w:t>one or more r</w:t>
      </w:r>
      <w:r>
        <w:rPr>
          <w:bCs/>
          <w:color w:val="000000"/>
        </w:rPr>
        <w:t>outing method</w:t>
      </w:r>
      <w:r w:rsidR="00156159">
        <w:rPr>
          <w:bCs/>
          <w:color w:val="000000"/>
        </w:rPr>
        <w:t>s</w:t>
      </w:r>
      <w:r>
        <w:rPr>
          <w:bCs/>
          <w:color w:val="000000"/>
        </w:rPr>
        <w:t xml:space="preserve"> </w:t>
      </w:r>
      <w:r w:rsidR="00414E8E">
        <w:rPr>
          <w:bCs/>
          <w:color w:val="000000"/>
        </w:rPr>
        <w:t xml:space="preserve">without </w:t>
      </w:r>
      <w:r w:rsidR="009A28F4">
        <w:rPr>
          <w:bCs/>
          <w:color w:val="000000"/>
        </w:rPr>
        <w:t xml:space="preserve">requiring the </w:t>
      </w:r>
      <w:r w:rsidR="00414E8E">
        <w:rPr>
          <w:bCs/>
          <w:color w:val="000000"/>
        </w:rPr>
        <w:t xml:space="preserve">industry to </w:t>
      </w:r>
      <w:r w:rsidR="009A28F4">
        <w:rPr>
          <w:bCs/>
          <w:color w:val="000000"/>
        </w:rPr>
        <w:t xml:space="preserve">implement </w:t>
      </w:r>
      <w:r w:rsidR="00414E8E">
        <w:rPr>
          <w:bCs/>
          <w:color w:val="000000"/>
        </w:rPr>
        <w:t xml:space="preserve">a </w:t>
      </w:r>
      <w:r w:rsidR="009A28F4">
        <w:rPr>
          <w:bCs/>
          <w:color w:val="000000"/>
        </w:rPr>
        <w:t xml:space="preserve">single </w:t>
      </w:r>
      <w:r w:rsidR="00156159">
        <w:rPr>
          <w:bCs/>
          <w:color w:val="000000"/>
        </w:rPr>
        <w:t xml:space="preserve">solution </w:t>
      </w:r>
      <w:r w:rsidR="00FD62F7">
        <w:rPr>
          <w:bCs/>
          <w:color w:val="000000"/>
        </w:rPr>
        <w:t xml:space="preserve">allows continued </w:t>
      </w:r>
      <w:r w:rsidR="00414E8E">
        <w:rPr>
          <w:bCs/>
          <w:color w:val="000000"/>
        </w:rPr>
        <w:t>innovation</w:t>
      </w:r>
      <w:r w:rsidR="009A28F4">
        <w:rPr>
          <w:bCs/>
          <w:color w:val="000000"/>
        </w:rPr>
        <w:t xml:space="preserve"> and </w:t>
      </w:r>
      <w:r w:rsidR="00156159">
        <w:rPr>
          <w:bCs/>
          <w:color w:val="000000"/>
        </w:rPr>
        <w:t xml:space="preserve">the </w:t>
      </w:r>
      <w:r w:rsidR="00414E8E">
        <w:rPr>
          <w:bCs/>
          <w:color w:val="000000"/>
        </w:rPr>
        <w:t xml:space="preserve">flexibility </w:t>
      </w:r>
      <w:r w:rsidR="00156159">
        <w:rPr>
          <w:bCs/>
          <w:color w:val="000000"/>
        </w:rPr>
        <w:t xml:space="preserve">to evolve </w:t>
      </w:r>
      <w:r w:rsidR="009A28F4">
        <w:rPr>
          <w:bCs/>
          <w:color w:val="000000"/>
        </w:rPr>
        <w:t xml:space="preserve">the features and capabilities of a </w:t>
      </w:r>
      <w:r w:rsidR="00156159">
        <w:rPr>
          <w:bCs/>
          <w:color w:val="000000"/>
        </w:rPr>
        <w:t xml:space="preserve">SP/registry </w:t>
      </w:r>
      <w:r w:rsidR="00414E8E">
        <w:rPr>
          <w:bCs/>
          <w:color w:val="000000"/>
        </w:rPr>
        <w:t xml:space="preserve">ecosystem </w:t>
      </w:r>
      <w:r w:rsidR="006E1ACC">
        <w:rPr>
          <w:bCs/>
          <w:color w:val="000000"/>
        </w:rPr>
        <w:t xml:space="preserve">as the industry’s needs evolve.  </w:t>
      </w:r>
    </w:p>
    <w:p w:rsidR="00D65338" w:rsidRDefault="00C52168" w:rsidP="007B4992">
      <w:pPr>
        <w:autoSpaceDE w:val="0"/>
        <w:autoSpaceDN w:val="0"/>
        <w:adjustRightInd w:val="0"/>
        <w:spacing w:after="0" w:line="240" w:lineRule="auto"/>
        <w:ind w:right="14"/>
        <w:jc w:val="center"/>
        <w:rPr>
          <w:rFonts w:cs="Arial"/>
        </w:rPr>
      </w:pPr>
      <w:r>
        <w:rPr>
          <w:rFonts w:cs="Arial"/>
        </w:rPr>
        <w:t xml:space="preserve">It is proposed that this text be added to </w:t>
      </w:r>
      <w:r w:rsidR="006604AE">
        <w:rPr>
          <w:rFonts w:cs="Arial"/>
        </w:rPr>
        <w:t xml:space="preserve">the </w:t>
      </w:r>
      <w:r w:rsidR="00CD6EF5">
        <w:rPr>
          <w:rFonts w:cs="Arial"/>
        </w:rPr>
        <w:t xml:space="preserve">IPNNI baseline routing document </w:t>
      </w:r>
      <w:r w:rsidR="006604AE">
        <w:rPr>
          <w:rFonts w:cs="Arial"/>
        </w:rPr>
        <w:t xml:space="preserve">in </w:t>
      </w:r>
      <w:r w:rsidR="006D529E">
        <w:rPr>
          <w:rFonts w:cs="Arial"/>
        </w:rPr>
        <w:t>t</w:t>
      </w:r>
      <w:r w:rsidR="00FD62F7">
        <w:rPr>
          <w:rFonts w:cs="Arial"/>
        </w:rPr>
        <w:t xml:space="preserve">he </w:t>
      </w:r>
      <w:r>
        <w:rPr>
          <w:rFonts w:cs="Arial"/>
        </w:rPr>
        <w:t>Section describing Per-TN implementations.</w:t>
      </w:r>
    </w:p>
    <w:p w:rsidR="0058747A" w:rsidRDefault="0058747A" w:rsidP="006604AE">
      <w:pPr>
        <w:autoSpaceDE w:val="0"/>
        <w:autoSpaceDN w:val="0"/>
        <w:adjustRightInd w:val="0"/>
        <w:spacing w:after="0" w:line="240" w:lineRule="auto"/>
        <w:ind w:right="14"/>
        <w:jc w:val="center"/>
        <w:rPr>
          <w:rFonts w:cs="Arial"/>
        </w:rPr>
      </w:pPr>
    </w:p>
    <w:p w:rsidR="00D65338" w:rsidRDefault="0040512F" w:rsidP="00D65338">
      <w:pPr>
        <w:adjustRightInd w:val="0"/>
        <w:jc w:val="center"/>
        <w:rPr>
          <w:rFonts w:eastAsia="SimSun"/>
          <w:b/>
          <w:color w:val="000000"/>
          <w:sz w:val="20"/>
          <w:lang w:eastAsia="zh-CN" w:bidi="he-IL"/>
        </w:rPr>
      </w:pPr>
      <w:r>
        <w:rPr>
          <w:rFonts w:eastAsia="SimSun"/>
          <w:b/>
          <w:color w:val="000000"/>
          <w:sz w:val="20"/>
          <w:lang w:eastAsia="zh-CN" w:bidi="he-IL"/>
        </w:rPr>
        <w:t>N</w:t>
      </w:r>
      <w:r w:rsidR="00D65338">
        <w:rPr>
          <w:rFonts w:eastAsia="SimSun"/>
          <w:b/>
          <w:color w:val="000000"/>
          <w:sz w:val="20"/>
          <w:lang w:eastAsia="zh-CN" w:bidi="he-IL"/>
        </w:rPr>
        <w:t>OTICE</w:t>
      </w:r>
    </w:p>
    <w:p w:rsidR="00D65338" w:rsidRDefault="00D65338" w:rsidP="00D65338">
      <w:pPr>
        <w:pBdr>
          <w:bottom w:val="single" w:sz="4" w:space="1" w:color="auto"/>
        </w:pBdr>
        <w:adjustRightInd w:val="0"/>
        <w:jc w:val="center"/>
        <w:rPr>
          <w:rFonts w:eastAsia="SimSun"/>
          <w:b/>
          <w:color w:val="000000"/>
          <w:sz w:val="20"/>
          <w:lang w:eastAsia="zh-CN" w:bidi="he-IL"/>
        </w:rPr>
      </w:pPr>
    </w:p>
    <w:p w:rsidR="00D65338" w:rsidRDefault="00D65338" w:rsidP="00D65338">
      <w:pPr>
        <w:adjustRightInd w:val="0"/>
        <w:rPr>
          <w:rFonts w:eastAsia="SimSun"/>
          <w:color w:val="000000"/>
          <w:sz w:val="20"/>
          <w:lang w:eastAsia="zh-CN" w:bidi="he-IL"/>
        </w:rPr>
      </w:pPr>
    </w:p>
    <w:p w:rsidR="00D65338" w:rsidRDefault="00D65338" w:rsidP="00D65338">
      <w:pPr>
        <w:rPr>
          <w:rFonts w:eastAsia="Times New Roman"/>
          <w:color w:val="000000"/>
          <w:sz w:val="20"/>
          <w:szCs w:val="18"/>
          <w:lang w:eastAsia="ja-JP"/>
        </w:rPr>
      </w:pPr>
      <w:r>
        <w:rPr>
          <w:color w:val="000000"/>
          <w:sz w:val="20"/>
          <w:szCs w:val="18"/>
        </w:rPr>
        <w:t xml:space="preserve">This is a draft document and thus, is dynamic in nature. It does not reflect a consensus of the ATIS-SIP Forum IP-NNI Task Force and it may be changed or modified. Neither ATIS nor the SIP Forum makes any representation or warranty, express or implied, with respect to the sufficiency, accuracy or utility of the information or opinion contained or reflected in the material utilized. ATIS and the SIP Forum further expressly advise that any use of or reliance upon the material in question is at your risk and neither ATIS nor the SIP Forum shall be liable for any damage or injury, of whatever nature, incurred by any person arising out of any utilization of the material. It is possible that this material will at some future date be included in a copyrighted work by ATIS or the SIP Forum.  </w:t>
      </w:r>
    </w:p>
    <w:p w:rsidR="00D65338" w:rsidRDefault="00D65338" w:rsidP="00D65338">
      <w:pPr>
        <w:pBdr>
          <w:bottom w:val="single" w:sz="4" w:space="1" w:color="auto"/>
        </w:pBdr>
        <w:adjustRightInd w:val="0"/>
        <w:rPr>
          <w:rFonts w:eastAsia="SimSun"/>
          <w:color w:val="000000"/>
          <w:sz w:val="20"/>
          <w:szCs w:val="20"/>
          <w:lang w:eastAsia="zh-CN" w:bidi="he-IL"/>
        </w:rPr>
      </w:pPr>
    </w:p>
    <w:p w:rsidR="00D65338" w:rsidRDefault="00D65338" w:rsidP="00D65338">
      <w:pPr>
        <w:rPr>
          <w:rFonts w:eastAsia="SimSun"/>
          <w:color w:val="000000"/>
          <w:sz w:val="20"/>
          <w:lang w:eastAsia="zh-CN" w:bidi="he-IL"/>
        </w:rPr>
      </w:pPr>
      <w:r>
        <w:rPr>
          <w:rFonts w:eastAsia="SimSun"/>
          <w:color w:val="000000"/>
          <w:sz w:val="20"/>
          <w:lang w:eastAsia="zh-CN" w:bidi="he-IL"/>
        </w:rPr>
        <w:t xml:space="preserve">* CONTACT: </w:t>
      </w:r>
      <w:r>
        <w:rPr>
          <w:rFonts w:eastAsia="SimSun"/>
          <w:color w:val="000000"/>
          <w:sz w:val="20"/>
          <w:lang w:eastAsia="zh-CN" w:bidi="he-IL"/>
        </w:rPr>
        <w:tab/>
        <w:t xml:space="preserve">Mark Desterdick; email: </w:t>
      </w:r>
      <w:hyperlink r:id="rId8" w:history="1">
        <w:r>
          <w:rPr>
            <w:rStyle w:val="Hyperlink"/>
            <w:rFonts w:eastAsia="SimSun"/>
            <w:sz w:val="20"/>
            <w:lang w:eastAsia="zh-CN" w:bidi="he-IL"/>
          </w:rPr>
          <w:t>desterdick@verizon.com</w:t>
        </w:r>
      </w:hyperlink>
      <w:r>
        <w:rPr>
          <w:rFonts w:eastAsia="SimSun"/>
          <w:color w:val="000000"/>
          <w:sz w:val="20"/>
          <w:lang w:eastAsia="zh-CN" w:bidi="he-IL"/>
        </w:rPr>
        <w:t xml:space="preserve"> ; Tel: +1 212-681-5626</w:t>
      </w:r>
    </w:p>
    <w:p w:rsidR="00D65338" w:rsidRDefault="00D65338" w:rsidP="00D65338">
      <w:pPr>
        <w:rPr>
          <w:b/>
        </w:rPr>
      </w:pPr>
      <w:r>
        <w:rPr>
          <w:rFonts w:eastAsia="SimSun"/>
          <w:color w:val="000000"/>
          <w:sz w:val="20"/>
          <w:lang w:eastAsia="zh-CN" w:bidi="he-IL"/>
        </w:rPr>
        <w:tab/>
      </w:r>
      <w:r>
        <w:rPr>
          <w:rFonts w:eastAsia="SimSun"/>
          <w:color w:val="000000"/>
          <w:sz w:val="20"/>
          <w:lang w:eastAsia="zh-CN" w:bidi="he-IL"/>
        </w:rPr>
        <w:tab/>
        <w:t xml:space="preserve">Jim Castagna; email: </w:t>
      </w:r>
      <w:hyperlink r:id="rId9" w:history="1">
        <w:r>
          <w:rPr>
            <w:rStyle w:val="Hyperlink"/>
            <w:rFonts w:eastAsia="SimSun"/>
            <w:sz w:val="20"/>
            <w:lang w:eastAsia="zh-CN" w:bidi="he-IL"/>
          </w:rPr>
          <w:t>james.t.castagna@verizon.com</w:t>
        </w:r>
      </w:hyperlink>
      <w:r>
        <w:rPr>
          <w:rFonts w:eastAsia="SimSun"/>
          <w:color w:val="000000"/>
          <w:sz w:val="20"/>
          <w:lang w:eastAsia="zh-CN" w:bidi="he-IL"/>
        </w:rPr>
        <w:t>; Tel: +1 845-620-6101</w:t>
      </w:r>
      <w:r w:rsidRPr="006550B6">
        <w:rPr>
          <w:b/>
        </w:rPr>
        <w:t xml:space="preserve">  </w:t>
      </w:r>
    </w:p>
    <w:p w:rsidR="00D65338" w:rsidRPr="006550B6" w:rsidRDefault="00D65338" w:rsidP="00D65338">
      <w:pPr>
        <w:rPr>
          <w:b/>
        </w:rPr>
      </w:pPr>
      <w:r>
        <w:rPr>
          <w:b/>
        </w:rPr>
        <w:lastRenderedPageBreak/>
        <w:t xml:space="preserve">Section </w:t>
      </w:r>
      <w:r w:rsidR="00207B85">
        <w:rPr>
          <w:b/>
        </w:rPr>
        <w:t>5.</w:t>
      </w:r>
      <w:r w:rsidR="002033A3">
        <w:rPr>
          <w:b/>
        </w:rPr>
        <w:t>6</w:t>
      </w:r>
      <w:r w:rsidR="00151CD4">
        <w:rPr>
          <w:b/>
        </w:rPr>
        <w:t xml:space="preserve"> –</w:t>
      </w:r>
      <w:r w:rsidR="005367B6">
        <w:rPr>
          <w:b/>
        </w:rPr>
        <w:t xml:space="preserve"> </w:t>
      </w:r>
      <w:r w:rsidR="00207B85">
        <w:rPr>
          <w:b/>
        </w:rPr>
        <w:t>Per-TN Routing Implementation</w:t>
      </w:r>
      <w:r w:rsidR="00151CD4">
        <w:rPr>
          <w:b/>
        </w:rPr>
        <w:t xml:space="preserve"> </w:t>
      </w:r>
      <w:r w:rsidR="002741F5">
        <w:t xml:space="preserve">- </w:t>
      </w:r>
      <w:r w:rsidR="006E3777" w:rsidRPr="006E3777">
        <w:t>Query</w:t>
      </w:r>
      <w:r w:rsidR="006E3777">
        <w:rPr>
          <w:b/>
        </w:rPr>
        <w:t xml:space="preserve"> </w:t>
      </w:r>
      <w:r w:rsidR="004A5854">
        <w:t xml:space="preserve">Using Independent </w:t>
      </w:r>
      <w:r w:rsidR="001C28A2">
        <w:t>Service Bureaus</w:t>
      </w:r>
    </w:p>
    <w:p w:rsidR="00EF6BAC" w:rsidRDefault="003102E8" w:rsidP="00401D98">
      <w:r>
        <w:t xml:space="preserve">Some SPs have shown interest in the per-TN approach to exchanging routing data, whereas some others </w:t>
      </w:r>
      <w:r w:rsidR="00401D98">
        <w:t xml:space="preserve">have </w:t>
      </w:r>
      <w:r>
        <w:t>plan</w:t>
      </w:r>
      <w:r w:rsidR="00401D98">
        <w:t>s</w:t>
      </w:r>
      <w:r>
        <w:t xml:space="preserve"> to </w:t>
      </w:r>
      <w:r w:rsidR="00401D98">
        <w:t xml:space="preserve">or </w:t>
      </w:r>
      <w:r w:rsidR="00A14663">
        <w:t>have already implemented the A</w:t>
      </w:r>
      <w:r>
        <w:t xml:space="preserve">ggregation </w:t>
      </w:r>
      <w:r w:rsidR="00A14663">
        <w:t>M</w:t>
      </w:r>
      <w:r>
        <w:t xml:space="preserve">ethod described </w:t>
      </w:r>
      <w:r w:rsidR="00BD553A">
        <w:t>in S</w:t>
      </w:r>
      <w:r>
        <w:t>ection</w:t>
      </w:r>
      <w:r w:rsidR="00045957">
        <w:t xml:space="preserve"> 4.1</w:t>
      </w:r>
      <w:r>
        <w:t xml:space="preserve">. Yet, there are many more SPs that have yet to </w:t>
      </w:r>
      <w:r w:rsidR="00D65F53">
        <w:t xml:space="preserve">determine </w:t>
      </w:r>
      <w:r w:rsidR="00401D98">
        <w:t xml:space="preserve">what </w:t>
      </w:r>
      <w:r>
        <w:t xml:space="preserve">method best fits their operational capabilities and business </w:t>
      </w:r>
      <w:r w:rsidR="00222425">
        <w:t>needs</w:t>
      </w:r>
      <w:r>
        <w:t xml:space="preserve">. These varying </w:t>
      </w:r>
      <w:r w:rsidR="00401D98">
        <w:t xml:space="preserve">needs among SPs </w:t>
      </w:r>
      <w:r w:rsidR="007151FB">
        <w:t>are</w:t>
      </w:r>
      <w:r w:rsidR="00401D98">
        <w:t xml:space="preserve"> </w:t>
      </w:r>
      <w:r>
        <w:t>indicative of how the industry is still evolving</w:t>
      </w:r>
      <w:r w:rsidR="001A4B36">
        <w:t xml:space="preserve"> a routing </w:t>
      </w:r>
      <w:r w:rsidR="00222425">
        <w:t>paradigm</w:t>
      </w:r>
      <w:r>
        <w:t xml:space="preserve">, and why </w:t>
      </w:r>
      <w:r w:rsidR="00401D98">
        <w:t xml:space="preserve">a per-TN solution SPs can implement </w:t>
      </w:r>
      <w:r w:rsidR="00222425">
        <w:t xml:space="preserve">by “opting-in” </w:t>
      </w:r>
      <w:r w:rsidR="00D7420B">
        <w:t xml:space="preserve">without impacting other SPs is warranted. </w:t>
      </w:r>
    </w:p>
    <w:p w:rsidR="00D7420B" w:rsidRDefault="00BB0296" w:rsidP="00401D98">
      <w:r>
        <w:t xml:space="preserve">Three approaches allowing </w:t>
      </w:r>
      <w:r w:rsidR="00D7420B">
        <w:rPr>
          <w:rFonts w:cs="Arial"/>
        </w:rPr>
        <w:t xml:space="preserve">SPs to implement a per-TN solution independently and in cooperation with like-minded SPs </w:t>
      </w:r>
      <w:r w:rsidR="00EF6BAC">
        <w:rPr>
          <w:rFonts w:cs="Arial"/>
        </w:rPr>
        <w:t xml:space="preserve">by “sharing copies of their per-TN database” </w:t>
      </w:r>
      <w:r w:rsidR="00222425">
        <w:rPr>
          <w:rFonts w:cs="Arial"/>
        </w:rPr>
        <w:t xml:space="preserve">is </w:t>
      </w:r>
      <w:r w:rsidR="00EF6BAC">
        <w:rPr>
          <w:rFonts w:cs="Arial"/>
        </w:rPr>
        <w:t xml:space="preserve">described in Section </w:t>
      </w:r>
      <w:r w:rsidR="00724C06">
        <w:rPr>
          <w:rFonts w:cs="Arial"/>
        </w:rPr>
        <w:t>5.5</w:t>
      </w:r>
      <w:r w:rsidR="00EF6BAC">
        <w:rPr>
          <w:rFonts w:cs="Arial"/>
        </w:rPr>
        <w:t xml:space="preserve">. This </w:t>
      </w:r>
      <w:r w:rsidR="00222425">
        <w:rPr>
          <w:rFonts w:cs="Arial"/>
        </w:rPr>
        <w:t>S</w:t>
      </w:r>
      <w:r w:rsidR="00EF6BAC">
        <w:rPr>
          <w:rFonts w:cs="Arial"/>
        </w:rPr>
        <w:t>ection describes th</w:t>
      </w:r>
      <w:r w:rsidR="007C0F84">
        <w:rPr>
          <w:rFonts w:cs="Arial"/>
        </w:rPr>
        <w:t xml:space="preserve">ree additional </w:t>
      </w:r>
      <w:r w:rsidR="00EF6BAC">
        <w:rPr>
          <w:rFonts w:cs="Arial"/>
        </w:rPr>
        <w:t xml:space="preserve">per-TN approaches </w:t>
      </w:r>
      <w:r w:rsidR="001A4B36">
        <w:rPr>
          <w:rFonts w:cs="Arial"/>
        </w:rPr>
        <w:t xml:space="preserve">- </w:t>
      </w:r>
      <w:r w:rsidR="00EF6BAC">
        <w:rPr>
          <w:rFonts w:cs="Arial"/>
        </w:rPr>
        <w:t xml:space="preserve">with similar benefits </w:t>
      </w:r>
      <w:r w:rsidR="001A4B36">
        <w:rPr>
          <w:rFonts w:cs="Arial"/>
        </w:rPr>
        <w:t xml:space="preserve">- </w:t>
      </w:r>
      <w:r w:rsidR="00EF6BAC">
        <w:rPr>
          <w:rFonts w:cs="Arial"/>
        </w:rPr>
        <w:t xml:space="preserve">where SPs agreeing to employ the per-TN method do so by “querying an external database” hosted by a Service Bureau or directly with </w:t>
      </w:r>
      <w:r w:rsidR="008D3CF4">
        <w:rPr>
          <w:rFonts w:cs="Arial"/>
        </w:rPr>
        <w:t xml:space="preserve">the interconnecting </w:t>
      </w:r>
      <w:r w:rsidR="00EF6BAC">
        <w:rPr>
          <w:rFonts w:cs="Arial"/>
        </w:rPr>
        <w:t xml:space="preserve">SP. </w:t>
      </w:r>
      <w:r w:rsidR="007E3F2C">
        <w:rPr>
          <w:rFonts w:cs="Arial"/>
        </w:rPr>
        <w:t xml:space="preserve"> </w:t>
      </w:r>
    </w:p>
    <w:p w:rsidR="00D65338" w:rsidRDefault="00C52168" w:rsidP="00D65338">
      <w:pPr>
        <w:rPr>
          <w:b/>
        </w:rPr>
      </w:pPr>
      <w:r>
        <w:rPr>
          <w:b/>
        </w:rPr>
        <w:t>5.</w:t>
      </w:r>
      <w:r w:rsidR="002033A3">
        <w:rPr>
          <w:b/>
        </w:rPr>
        <w:t>6</w:t>
      </w:r>
      <w:r>
        <w:rPr>
          <w:b/>
        </w:rPr>
        <w:t>.1</w:t>
      </w:r>
      <w:r w:rsidR="005367B6">
        <w:rPr>
          <w:b/>
        </w:rPr>
        <w:t xml:space="preserve"> </w:t>
      </w:r>
      <w:r w:rsidR="005C357C">
        <w:rPr>
          <w:b/>
        </w:rPr>
        <w:t>–</w:t>
      </w:r>
      <w:r w:rsidR="005367B6">
        <w:rPr>
          <w:b/>
        </w:rPr>
        <w:t xml:space="preserve"> </w:t>
      </w:r>
      <w:r w:rsidR="00D65338">
        <w:rPr>
          <w:b/>
        </w:rPr>
        <w:t>Implementation</w:t>
      </w:r>
    </w:p>
    <w:p w:rsidR="00C618CE" w:rsidRDefault="005C357C" w:rsidP="00AC5F32">
      <w:r>
        <w:t xml:space="preserve">Some SPs subscribe to products offered by Service Bureaus to facilitate IP routing. For example, a Service Bureau subscribing to the LERG and NPAC feeds can manipulate and format data based upon the needs of </w:t>
      </w:r>
      <w:r w:rsidR="007C0F84">
        <w:t>an</w:t>
      </w:r>
      <w:r>
        <w:t xml:space="preserve"> SP</w:t>
      </w:r>
      <w:r w:rsidR="007C0F84">
        <w:t>’</w:t>
      </w:r>
      <w:r>
        <w:t xml:space="preserve">s internal routing service. </w:t>
      </w:r>
      <w:r w:rsidR="005851E0">
        <w:t>SP</w:t>
      </w:r>
      <w:r w:rsidR="006E3777">
        <w:t>s</w:t>
      </w:r>
      <w:r w:rsidR="005851E0">
        <w:t xml:space="preserve"> choosing the </w:t>
      </w:r>
      <w:r w:rsidR="00833BFC">
        <w:t xml:space="preserve">per-TN </w:t>
      </w:r>
      <w:r w:rsidR="005851E0">
        <w:t xml:space="preserve">method can </w:t>
      </w:r>
      <w:r w:rsidR="00222425">
        <w:t xml:space="preserve">“opt-in” by </w:t>
      </w:r>
      <w:r w:rsidR="005851E0">
        <w:t>s</w:t>
      </w:r>
      <w:r w:rsidR="00AC5F32">
        <w:t>haring ro</w:t>
      </w:r>
      <w:r w:rsidR="005851E0">
        <w:t xml:space="preserve">uting data with </w:t>
      </w:r>
      <w:r w:rsidR="00AC5F32">
        <w:t xml:space="preserve">a </w:t>
      </w:r>
      <w:r w:rsidR="005851E0">
        <w:t xml:space="preserve">Service Bureau, </w:t>
      </w:r>
      <w:r w:rsidR="002033A3">
        <w:t xml:space="preserve">so that interconnecting SPs choosing to employ </w:t>
      </w:r>
      <w:r>
        <w:t xml:space="preserve">the </w:t>
      </w:r>
      <w:r w:rsidR="002033A3">
        <w:t xml:space="preserve">per-TN method can perform a real-time </w:t>
      </w:r>
      <w:r w:rsidR="007C0F84">
        <w:t xml:space="preserve">per-TN </w:t>
      </w:r>
      <w:r w:rsidR="002033A3">
        <w:t xml:space="preserve">query to obtain routing information. </w:t>
      </w:r>
      <w:r w:rsidR="005851E0">
        <w:t>Alternatively, SPs may agree to query each others’ per-TN database</w:t>
      </w:r>
      <w:r w:rsidR="007C3FC3">
        <w:t xml:space="preserve"> directly</w:t>
      </w:r>
      <w:r>
        <w:t>, but this is expected to be the exception</w:t>
      </w:r>
      <w:r w:rsidR="00CF56A8">
        <w:t>.</w:t>
      </w:r>
      <w:r w:rsidR="005851E0">
        <w:t xml:space="preserve"> </w:t>
      </w:r>
      <w:r w:rsidR="00C618CE">
        <w:t>I</w:t>
      </w:r>
      <w:r w:rsidR="00DF2CAF">
        <w:t xml:space="preserve">t is expected that </w:t>
      </w:r>
      <w:r w:rsidR="00B3059A">
        <w:t xml:space="preserve">Service Bureaus </w:t>
      </w:r>
      <w:r w:rsidR="00DF2CAF">
        <w:t xml:space="preserve">will </w:t>
      </w:r>
      <w:r w:rsidR="00B3059A">
        <w:t xml:space="preserve">synchronize </w:t>
      </w:r>
      <w:r w:rsidR="00C618CE">
        <w:t xml:space="preserve">the </w:t>
      </w:r>
      <w:r w:rsidR="00B3059A">
        <w:t>routing data of their subscribing SPs</w:t>
      </w:r>
      <w:r w:rsidR="00C618CE">
        <w:t xml:space="preserve"> </w:t>
      </w:r>
      <w:r w:rsidR="00DF2CAF">
        <w:t>so that each will have a</w:t>
      </w:r>
      <w:r w:rsidR="00AC5F32">
        <w:t xml:space="preserve">uthoritative </w:t>
      </w:r>
      <w:r w:rsidR="00C618CE">
        <w:t>routing information.</w:t>
      </w:r>
      <w:bookmarkStart w:id="0" w:name="_GoBack"/>
      <w:bookmarkEnd w:id="0"/>
    </w:p>
    <w:p w:rsidR="00B3059A" w:rsidRDefault="00A530FC" w:rsidP="00593EFB">
      <w:r>
        <w:t>The</w:t>
      </w:r>
      <w:r w:rsidR="007C3FC3">
        <w:t>se</w:t>
      </w:r>
      <w:r w:rsidR="007C0F84">
        <w:t xml:space="preserve"> three </w:t>
      </w:r>
      <w:r w:rsidR="00956CC0">
        <w:t>solutions</w:t>
      </w:r>
      <w:r w:rsidR="007C0F84">
        <w:t xml:space="preserve"> </w:t>
      </w:r>
      <w:r>
        <w:t xml:space="preserve">do not require the development of existing or new shared industry infrastructure, but the </w:t>
      </w:r>
      <w:r w:rsidR="005851E0">
        <w:t>database and query</w:t>
      </w:r>
      <w:r w:rsidR="00862176">
        <w:t xml:space="preserve"> /</w:t>
      </w:r>
      <w:r w:rsidR="005851E0">
        <w:t xml:space="preserve">response protocol should be </w:t>
      </w:r>
      <w:r w:rsidR="00AF5D80">
        <w:t xml:space="preserve">uniform </w:t>
      </w:r>
      <w:r w:rsidR="005851E0">
        <w:t xml:space="preserve">to facilitate interoperability. </w:t>
      </w:r>
      <w:r w:rsidR="00222425">
        <w:t>Also, uniformity as to how multiple registry providers may synchronize with each other so they can offer the same authoritative data to their respective SPs is also warranted.</w:t>
      </w:r>
      <w:r w:rsidR="00C250C4">
        <w:t xml:space="preserve"> </w:t>
      </w:r>
    </w:p>
    <w:p w:rsidR="00F30957" w:rsidRDefault="002664F2" w:rsidP="00593EFB">
      <w:r>
        <w:t xml:space="preserve">Referring to Figure </w:t>
      </w:r>
      <w:r w:rsidR="00E96F0B">
        <w:t>X</w:t>
      </w:r>
      <w:r>
        <w:t xml:space="preserve">, </w:t>
      </w:r>
      <w:r w:rsidR="006B0823">
        <w:t xml:space="preserve">each set of arrows </w:t>
      </w:r>
      <w:r w:rsidR="00207B85">
        <w:t>lettered A</w:t>
      </w:r>
      <w:r w:rsidR="006B0823">
        <w:t xml:space="preserve"> thru </w:t>
      </w:r>
      <w:r w:rsidR="00207B85">
        <w:t>C</w:t>
      </w:r>
      <w:r w:rsidR="006B0823">
        <w:t xml:space="preserve"> (and color coded) represent </w:t>
      </w:r>
      <w:r>
        <w:t xml:space="preserve">three </w:t>
      </w:r>
      <w:r w:rsidR="006B0823">
        <w:t>possible</w:t>
      </w:r>
      <w:r>
        <w:t xml:space="preserve"> per-TN</w:t>
      </w:r>
      <w:r w:rsidR="006B0823">
        <w:t xml:space="preserve"> implementations</w:t>
      </w:r>
      <w:r>
        <w:t xml:space="preserve">. </w:t>
      </w:r>
      <w:r w:rsidR="007C3FC3">
        <w:t>(</w:t>
      </w:r>
      <w:r w:rsidR="00F30957">
        <w:t xml:space="preserve">The black arrows represent the </w:t>
      </w:r>
      <w:r w:rsidR="0049194B">
        <w:t xml:space="preserve">manual </w:t>
      </w:r>
      <w:r w:rsidR="00F30957">
        <w:t xml:space="preserve">exchange of </w:t>
      </w:r>
      <w:r w:rsidR="00862176">
        <w:t xml:space="preserve">URI </w:t>
      </w:r>
      <w:r w:rsidR="00F30957">
        <w:t>and IP address</w:t>
      </w:r>
      <w:r w:rsidR="00862176">
        <w:t xml:space="preserve">es to resolve SIP URIs obtained via query. </w:t>
      </w:r>
      <w:r w:rsidR="00F30957">
        <w:t>Note that this</w:t>
      </w:r>
      <w:r w:rsidR="0049194B">
        <w:t xml:space="preserve"> manual </w:t>
      </w:r>
      <w:r w:rsidR="00F30957">
        <w:t>exchange</w:t>
      </w:r>
      <w:r w:rsidR="00222425">
        <w:t xml:space="preserve"> of a limited quantity of routing data is commonplace among per-TN and Aggregation methods </w:t>
      </w:r>
      <w:r w:rsidR="00F30957">
        <w:t>desc</w:t>
      </w:r>
      <w:r w:rsidR="007C3FC3">
        <w:t xml:space="preserve">ribe elsewhere in this </w:t>
      </w:r>
      <w:r w:rsidR="00222425">
        <w:t>document</w:t>
      </w:r>
      <w:r w:rsidR="007C3FC3">
        <w:t>.)</w:t>
      </w:r>
    </w:p>
    <w:p w:rsidR="00F30957" w:rsidRDefault="00F30957" w:rsidP="00862176">
      <w:pPr>
        <w:pStyle w:val="ListParagraph"/>
        <w:numPr>
          <w:ilvl w:val="0"/>
          <w:numId w:val="2"/>
        </w:numPr>
      </w:pPr>
      <w:r>
        <w:t>The green arrows (</w:t>
      </w:r>
      <w:r w:rsidR="00207B85">
        <w:t>lettered A</w:t>
      </w:r>
      <w:r>
        <w:t xml:space="preserve">) depict the </w:t>
      </w:r>
      <w:r w:rsidR="00862176">
        <w:t xml:space="preserve">case where SPs directly query each other’s per-TN database. </w:t>
      </w:r>
      <w:r w:rsidR="009A7ED9">
        <w:t xml:space="preserve">This may be attractive to SPs having the operational capability that prefer not to outsource the </w:t>
      </w:r>
      <w:r w:rsidR="0088652A">
        <w:t xml:space="preserve">query </w:t>
      </w:r>
      <w:r w:rsidR="009A7ED9">
        <w:t>functionality</w:t>
      </w:r>
      <w:r w:rsidR="00C250C4">
        <w:t xml:space="preserve"> to a Service Bureau</w:t>
      </w:r>
      <w:r w:rsidR="009A7ED9">
        <w:t xml:space="preserve">. </w:t>
      </w:r>
    </w:p>
    <w:p w:rsidR="00F30957" w:rsidRDefault="00F30957" w:rsidP="00F30957">
      <w:pPr>
        <w:pStyle w:val="ListParagraph"/>
        <w:numPr>
          <w:ilvl w:val="0"/>
          <w:numId w:val="2"/>
        </w:numPr>
      </w:pPr>
      <w:r>
        <w:t>The blue arrows (</w:t>
      </w:r>
      <w:r w:rsidR="00207B85">
        <w:t>lettered B</w:t>
      </w:r>
      <w:r>
        <w:t xml:space="preserve">) depict the </w:t>
      </w:r>
      <w:r w:rsidR="0088652A">
        <w:t>case where SPs</w:t>
      </w:r>
      <w:r w:rsidR="00862176">
        <w:t xml:space="preserve"> query a </w:t>
      </w:r>
      <w:r>
        <w:t>common Service Bureau</w:t>
      </w:r>
      <w:r w:rsidR="00862176">
        <w:t xml:space="preserve">, an example of where </w:t>
      </w:r>
      <w:r w:rsidR="0049194B">
        <w:t xml:space="preserve">SPs have chosen </w:t>
      </w:r>
      <w:r>
        <w:t xml:space="preserve">the same Service Bureau to outsource </w:t>
      </w:r>
      <w:r w:rsidR="00C250C4">
        <w:t xml:space="preserve">query </w:t>
      </w:r>
      <w:r>
        <w:t xml:space="preserve">functionality. </w:t>
      </w:r>
    </w:p>
    <w:p w:rsidR="00F30957" w:rsidRDefault="00F30957" w:rsidP="00F30957">
      <w:pPr>
        <w:pStyle w:val="ListParagraph"/>
        <w:numPr>
          <w:ilvl w:val="0"/>
          <w:numId w:val="2"/>
        </w:numPr>
      </w:pPr>
      <w:r>
        <w:t>The red arrows (</w:t>
      </w:r>
      <w:r w:rsidR="00207B85">
        <w:t>lettered C</w:t>
      </w:r>
      <w:r>
        <w:t xml:space="preserve">) depict </w:t>
      </w:r>
      <w:r w:rsidR="00862176">
        <w:t xml:space="preserve">the case where </w:t>
      </w:r>
      <w:r w:rsidR="00956CC0">
        <w:t xml:space="preserve">SPs do not use a common </w:t>
      </w:r>
      <w:r w:rsidR="00862176">
        <w:t>Service Bureaus</w:t>
      </w:r>
      <w:r w:rsidR="007E59BD">
        <w:t>,</w:t>
      </w:r>
      <w:r w:rsidR="00862176">
        <w:t xml:space="preserve"> </w:t>
      </w:r>
      <w:r w:rsidR="00956CC0">
        <w:t>but allow their</w:t>
      </w:r>
      <w:r w:rsidR="007E59BD">
        <w:t xml:space="preserve"> chosen </w:t>
      </w:r>
      <w:r w:rsidR="00631DEF">
        <w:t>Service Bureau</w:t>
      </w:r>
      <w:r w:rsidR="00862176">
        <w:t>s</w:t>
      </w:r>
      <w:r w:rsidR="00631DEF">
        <w:t xml:space="preserve"> to </w:t>
      </w:r>
      <w:r>
        <w:t>exchange routing data</w:t>
      </w:r>
      <w:r w:rsidR="0049194B">
        <w:t xml:space="preserve"> on their behalf</w:t>
      </w:r>
      <w:r w:rsidR="00924FB3">
        <w:t xml:space="preserve"> </w:t>
      </w:r>
      <w:r w:rsidR="00907EF4">
        <w:t xml:space="preserve">for query by </w:t>
      </w:r>
      <w:r w:rsidR="00924FB3">
        <w:t>SPs</w:t>
      </w:r>
      <w:r w:rsidR="00956CC0">
        <w:t xml:space="preserve"> (</w:t>
      </w:r>
      <w:r w:rsidR="00631DEF">
        <w:t>subscrib</w:t>
      </w:r>
      <w:r w:rsidR="003D67F3">
        <w:t>ed</w:t>
      </w:r>
      <w:r w:rsidR="00631DEF">
        <w:t xml:space="preserve"> to </w:t>
      </w:r>
      <w:r w:rsidR="00924FB3">
        <w:t>a different Service Bureau</w:t>
      </w:r>
      <w:r w:rsidR="00956CC0">
        <w:t>)</w:t>
      </w:r>
      <w:r>
        <w:t xml:space="preserve">. </w:t>
      </w:r>
    </w:p>
    <w:p w:rsidR="00771AB9" w:rsidRDefault="00956CC0" w:rsidP="007E59BD">
      <w:r>
        <w:lastRenderedPageBreak/>
        <w:t xml:space="preserve">Note that each of the </w:t>
      </w:r>
      <w:r w:rsidR="00C61531">
        <w:t xml:space="preserve">below </w:t>
      </w:r>
      <w:r>
        <w:t xml:space="preserve">three cases may be implemented simultaneously, allowing SPs to selected a Service Bureau that best meets their operational needs. It is expected that SPs would </w:t>
      </w:r>
      <w:r w:rsidR="00771AB9">
        <w:t xml:space="preserve">gain access to </w:t>
      </w:r>
      <w:r>
        <w:t xml:space="preserve">multiple Service Bureaus </w:t>
      </w:r>
      <w:r w:rsidR="00771AB9">
        <w:t xml:space="preserve">for interconnection purposes and that an </w:t>
      </w:r>
      <w:r w:rsidR="007E59BD">
        <w:t>ecosystem of Service Bureaus may evolve</w:t>
      </w:r>
      <w:r w:rsidR="003E5346">
        <w:t>.</w:t>
      </w:r>
      <w:r w:rsidR="007E59BD">
        <w:t xml:space="preserve"> </w:t>
      </w:r>
      <w:r w:rsidR="00760EC4">
        <w:t>The ability for Service Bureaus to provide both a query and zone transfer service</w:t>
      </w:r>
      <w:r w:rsidR="003E5346">
        <w:t xml:space="preserve"> – coupled with the synchronization of </w:t>
      </w:r>
      <w:r w:rsidR="00760EC4">
        <w:t>routing data among multiple registries</w:t>
      </w:r>
      <w:r w:rsidR="003E5346">
        <w:t xml:space="preserve"> – would provide SPs with a broad range of options</w:t>
      </w:r>
      <w:r w:rsidR="00760EC4">
        <w:t xml:space="preserve">. </w:t>
      </w:r>
    </w:p>
    <w:p w:rsidR="00771AB9" w:rsidRDefault="00771AB9" w:rsidP="007E59BD"/>
    <w:p w:rsidR="00DA1E7C" w:rsidRDefault="00EF1F1E" w:rsidP="00797AF5">
      <w:pPr>
        <w:jc w:val="center"/>
      </w:pPr>
      <w:r>
        <w:rPr>
          <w:noProof/>
        </w:rPr>
        <w:drawing>
          <wp:inline distT="0" distB="0" distL="0" distR="0">
            <wp:extent cx="3419061" cy="2186608"/>
            <wp:effectExtent l="19050" t="0" r="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423958" cy="2189740"/>
                    </a:xfrm>
                    <a:prstGeom prst="rect">
                      <a:avLst/>
                    </a:prstGeom>
                    <a:noFill/>
                  </pic:spPr>
                </pic:pic>
              </a:graphicData>
            </a:graphic>
          </wp:inline>
        </w:drawing>
      </w:r>
    </w:p>
    <w:p w:rsidR="00E96F0B" w:rsidRDefault="00E96F0B" w:rsidP="003D5853">
      <w:pPr>
        <w:jc w:val="center"/>
      </w:pPr>
      <w:r>
        <w:t>Figure X</w:t>
      </w:r>
    </w:p>
    <w:p w:rsidR="00593EFB" w:rsidRDefault="00C52168" w:rsidP="00593EFB">
      <w:pPr>
        <w:rPr>
          <w:b/>
        </w:rPr>
      </w:pPr>
      <w:r>
        <w:rPr>
          <w:b/>
        </w:rPr>
        <w:t>5.</w:t>
      </w:r>
      <w:r w:rsidR="00B3059A">
        <w:rPr>
          <w:b/>
        </w:rPr>
        <w:t>6</w:t>
      </w:r>
      <w:r>
        <w:rPr>
          <w:b/>
        </w:rPr>
        <w:t>.2</w:t>
      </w:r>
      <w:r w:rsidR="00593EFB">
        <w:rPr>
          <w:b/>
        </w:rPr>
        <w:t xml:space="preserve"> - Provisioning</w:t>
      </w:r>
    </w:p>
    <w:p w:rsidR="00D65338" w:rsidRDefault="00D65338" w:rsidP="00D65338">
      <w:pPr>
        <w:pStyle w:val="BodyText"/>
      </w:pPr>
      <w:r>
        <w:t xml:space="preserve">A Provisioning diagram is shown below in Figure </w:t>
      </w:r>
      <w:r w:rsidR="00E96F0B">
        <w:t>Y</w:t>
      </w:r>
      <w:r w:rsidR="007D63DC">
        <w:t>. Note that only the case where both SPs employ a common Service Bureau is shown for simplicity</w:t>
      </w:r>
      <w:r>
        <w:t xml:space="preserve">: </w:t>
      </w:r>
    </w:p>
    <w:p w:rsidR="00996D92" w:rsidRDefault="00D65338" w:rsidP="00D65338">
      <w:pPr>
        <w:pStyle w:val="BodyText"/>
      </w:pPr>
      <w:r w:rsidRPr="0068727F">
        <w:t xml:space="preserve">In this provisioning example, SP1 provisions </w:t>
      </w:r>
      <w:r w:rsidR="00207B85">
        <w:t>(black arrows)</w:t>
      </w:r>
      <w:r w:rsidR="00207B85" w:rsidRPr="0068727F">
        <w:t xml:space="preserve"> </w:t>
      </w:r>
      <w:r w:rsidRPr="0068727F">
        <w:t>its</w:t>
      </w:r>
      <w:r>
        <w:t xml:space="preserve"> Routing S</w:t>
      </w:r>
      <w:r w:rsidRPr="0068727F">
        <w:t>ervice and DNS based upon information provided</w:t>
      </w:r>
      <w:r>
        <w:t xml:space="preserve"> by SP2</w:t>
      </w:r>
      <w:r w:rsidR="00207B85">
        <w:t xml:space="preserve">. </w:t>
      </w:r>
      <w:r w:rsidR="00996D92">
        <w:t xml:space="preserve"> </w:t>
      </w:r>
      <w:r w:rsidR="00593EFB">
        <w:t xml:space="preserve">SIP URIs </w:t>
      </w:r>
      <w:r w:rsidRPr="0068727F">
        <w:t xml:space="preserve">are correlated </w:t>
      </w:r>
      <w:r>
        <w:t xml:space="preserve">with SBC interconnect IP addresses provided by SP2. </w:t>
      </w:r>
    </w:p>
    <w:p w:rsidR="00B921A0" w:rsidRDefault="00593EFB" w:rsidP="00B921A0">
      <w:pPr>
        <w:spacing w:after="240" w:line="240" w:lineRule="auto"/>
        <w:jc w:val="both"/>
        <w:textAlignment w:val="center"/>
      </w:pPr>
      <w:r>
        <w:t>The SP</w:t>
      </w:r>
      <w:r w:rsidR="00B921A0">
        <w:t>1 and SP2</w:t>
      </w:r>
      <w:r>
        <w:t xml:space="preserve"> </w:t>
      </w:r>
      <w:r w:rsidR="00D97B1A">
        <w:t xml:space="preserve">query each other’s database or employ a Service Bureau to offer </w:t>
      </w:r>
      <w:r w:rsidR="007B4557">
        <w:t xml:space="preserve">its </w:t>
      </w:r>
      <w:r>
        <w:t xml:space="preserve">per-TN </w:t>
      </w:r>
      <w:r w:rsidR="007B4557">
        <w:t xml:space="preserve">database </w:t>
      </w:r>
      <w:r w:rsidR="00775054">
        <w:t>for query</w:t>
      </w:r>
      <w:r w:rsidR="00D97B1A">
        <w:t xml:space="preserve">. </w:t>
      </w:r>
      <w:r w:rsidR="00B921A0">
        <w:t xml:space="preserve">For example, TNs can be correlated with a URI that is a full SIP URI (e.g., </w:t>
      </w:r>
      <w:hyperlink r:id="rId11" w:history="1">
        <w:r w:rsidR="00B921A0">
          <w:rPr>
            <w:rStyle w:val="Hyperlink"/>
            <w:rFonts w:ascii="Calibri" w:hAnsi="Calibri" w:cs="Calibri"/>
            <w:sz w:val="18"/>
            <w:szCs w:val="18"/>
          </w:rPr>
          <w:t>sip:+13036614567@example.mso-a.com;user=phone</w:t>
        </w:r>
      </w:hyperlink>
      <w:r w:rsidR="00B921A0">
        <w:t xml:space="preserve"> ) but without the </w:t>
      </w:r>
      <w:proofErr w:type="spellStart"/>
      <w:r w:rsidR="00B921A0">
        <w:t>tel</w:t>
      </w:r>
      <w:proofErr w:type="spellEnd"/>
      <w:r w:rsidR="00B921A0">
        <w:t xml:space="preserve"> URI number portability parameters as defined in RFC 4694.</w:t>
      </w:r>
      <w:r w:rsidR="00B921A0" w:rsidRPr="00B921A0">
        <w:t xml:space="preserve"> </w:t>
      </w:r>
      <w:r w:rsidR="00B921A0">
        <w:t>How SP1 designs its routing service to use per-TN routing data is specific to SP1’s implementation.</w:t>
      </w:r>
    </w:p>
    <w:p w:rsidR="00CE65B7" w:rsidRDefault="000730DD" w:rsidP="00E3347C">
      <w:pPr>
        <w:spacing w:after="240" w:line="240" w:lineRule="auto"/>
        <w:jc w:val="center"/>
        <w:textAlignment w:val="center"/>
      </w:pPr>
      <w:r>
        <w:rPr>
          <w:noProof/>
        </w:rPr>
        <w:lastRenderedPageBreak/>
        <w:drawing>
          <wp:inline distT="0" distB="0" distL="0" distR="0">
            <wp:extent cx="4314411" cy="2782956"/>
            <wp:effectExtent l="1905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4315224" cy="2783480"/>
                    </a:xfrm>
                    <a:prstGeom prst="rect">
                      <a:avLst/>
                    </a:prstGeom>
                    <a:noFill/>
                  </pic:spPr>
                </pic:pic>
              </a:graphicData>
            </a:graphic>
          </wp:inline>
        </w:drawing>
      </w:r>
    </w:p>
    <w:p w:rsidR="00D65338" w:rsidRPr="00934F2E" w:rsidRDefault="00D65338" w:rsidP="00D65338">
      <w:pPr>
        <w:pStyle w:val="BodyText"/>
      </w:pPr>
      <w:r w:rsidRPr="008A77C7">
        <w:t xml:space="preserve">Figure </w:t>
      </w:r>
      <w:r w:rsidR="00E96F0B">
        <w:t>Y</w:t>
      </w:r>
    </w:p>
    <w:p w:rsidR="007817FC" w:rsidRDefault="007817FC" w:rsidP="00D65338">
      <w:pPr>
        <w:pStyle w:val="Heading1"/>
      </w:pPr>
    </w:p>
    <w:p w:rsidR="00D65338" w:rsidRPr="00660075" w:rsidRDefault="00C52168" w:rsidP="00D65338">
      <w:pPr>
        <w:pStyle w:val="Heading1"/>
        <w:rPr>
          <w:rFonts w:asciiTheme="minorHAnsi" w:hAnsiTheme="minorHAnsi"/>
          <w:sz w:val="22"/>
          <w:szCs w:val="22"/>
        </w:rPr>
      </w:pPr>
      <w:r w:rsidRPr="00660075">
        <w:rPr>
          <w:rFonts w:asciiTheme="minorHAnsi" w:hAnsiTheme="minorHAnsi"/>
          <w:sz w:val="22"/>
          <w:szCs w:val="22"/>
        </w:rPr>
        <w:t>5.</w:t>
      </w:r>
      <w:r w:rsidR="00B3059A">
        <w:rPr>
          <w:rFonts w:asciiTheme="minorHAnsi" w:hAnsiTheme="minorHAnsi"/>
          <w:sz w:val="22"/>
          <w:szCs w:val="22"/>
        </w:rPr>
        <w:t>6</w:t>
      </w:r>
      <w:r w:rsidRPr="00660075">
        <w:rPr>
          <w:rFonts w:asciiTheme="minorHAnsi" w:hAnsiTheme="minorHAnsi"/>
          <w:sz w:val="22"/>
          <w:szCs w:val="22"/>
        </w:rPr>
        <w:t>.3</w:t>
      </w:r>
      <w:r w:rsidR="005367B6" w:rsidRPr="00660075">
        <w:rPr>
          <w:rFonts w:asciiTheme="minorHAnsi" w:hAnsiTheme="minorHAnsi"/>
          <w:sz w:val="22"/>
          <w:szCs w:val="22"/>
        </w:rPr>
        <w:t xml:space="preserve"> - </w:t>
      </w:r>
      <w:r w:rsidR="00D65338" w:rsidRPr="00660075">
        <w:rPr>
          <w:rFonts w:asciiTheme="minorHAnsi" w:hAnsiTheme="minorHAnsi"/>
          <w:sz w:val="22"/>
          <w:szCs w:val="22"/>
        </w:rPr>
        <w:t>Call Flow</w:t>
      </w:r>
    </w:p>
    <w:p w:rsidR="00D65338" w:rsidRDefault="00D65338" w:rsidP="00D65338">
      <w:pPr>
        <w:pStyle w:val="BodyText"/>
        <w:widowControl w:val="0"/>
        <w:spacing w:after="240" w:line="240" w:lineRule="auto"/>
      </w:pPr>
      <w:r>
        <w:t xml:space="preserve">An example of the Call Flow is shown below in Figure </w:t>
      </w:r>
      <w:r w:rsidR="00E96F0B">
        <w:t>Z</w:t>
      </w:r>
      <w:r>
        <w:t>:</w:t>
      </w:r>
      <w:r w:rsidRPr="00794EA2">
        <w:t xml:space="preserve"> </w:t>
      </w:r>
    </w:p>
    <w:p w:rsidR="00D65338" w:rsidRPr="0021117A" w:rsidRDefault="00D65338" w:rsidP="00D65338">
      <w:pPr>
        <w:pStyle w:val="BodyText"/>
        <w:widowControl w:val="0"/>
        <w:numPr>
          <w:ilvl w:val="0"/>
          <w:numId w:val="1"/>
        </w:numPr>
        <w:spacing w:after="240" w:line="240" w:lineRule="auto"/>
      </w:pPr>
      <w:r w:rsidRPr="0021117A">
        <w:t>Pat (</w:t>
      </w:r>
      <w:r>
        <w:t xml:space="preserve">non-roaming </w:t>
      </w:r>
      <w:r w:rsidRPr="0021117A">
        <w:t>subscriber of SP1) makes a session request (e.g., places a call) to Mike</w:t>
      </w:r>
      <w:r>
        <w:t xml:space="preserve"> </w:t>
      </w:r>
      <w:r w:rsidRPr="0021117A">
        <w:t>(subscriber of SP</w:t>
      </w:r>
      <w:r>
        <w:t>2</w:t>
      </w:r>
      <w:r w:rsidRPr="0021117A">
        <w:t>)</w:t>
      </w:r>
      <w:r>
        <w:t>.  SP1’s network provides originating services based on Pat’s subscription.</w:t>
      </w:r>
    </w:p>
    <w:p w:rsidR="00D65338" w:rsidRDefault="00D65338" w:rsidP="00D65338">
      <w:pPr>
        <w:pStyle w:val="BodyText"/>
        <w:widowControl w:val="0"/>
        <w:numPr>
          <w:ilvl w:val="0"/>
          <w:numId w:val="1"/>
        </w:numPr>
        <w:spacing w:after="240" w:line="240" w:lineRule="auto"/>
      </w:pPr>
      <w:r w:rsidRPr="0021117A">
        <w:t>SP1</w:t>
      </w:r>
      <w:r>
        <w:t>’s</w:t>
      </w:r>
      <w:r w:rsidRPr="0021117A">
        <w:t xml:space="preserve"> </w:t>
      </w:r>
      <w:r>
        <w:t>application server</w:t>
      </w:r>
      <w:r w:rsidRPr="0021117A">
        <w:t xml:space="preserve"> queries </w:t>
      </w:r>
      <w:r w:rsidR="00670816">
        <w:t xml:space="preserve">(2A) </w:t>
      </w:r>
      <w:r w:rsidRPr="0021117A">
        <w:t xml:space="preserve">its routing service </w:t>
      </w:r>
      <w:r>
        <w:t xml:space="preserve">in real time using the called number to determine how to forward the request.  The routing service first portability corrects the called number, and then determines that it is not subscribed to SP1. It then checks to see whether </w:t>
      </w:r>
      <w:r w:rsidR="009C561A">
        <w:t>the code holder</w:t>
      </w:r>
      <w:r>
        <w:t xml:space="preserve"> associated with the telephone number</w:t>
      </w:r>
      <w:r w:rsidR="009C561A">
        <w:rPr>
          <w:rStyle w:val="FootnoteReference"/>
        </w:rPr>
        <w:footnoteReference w:id="1"/>
      </w:r>
      <w:r>
        <w:t xml:space="preserve"> </w:t>
      </w:r>
      <w:r w:rsidR="009C561A">
        <w:t>is</w:t>
      </w:r>
      <w:r>
        <w:t xml:space="preserve"> covered by an IP interconnection agreement. If so, </w:t>
      </w:r>
      <w:r w:rsidR="000B79EB" w:rsidRPr="00AC2EFF">
        <w:t xml:space="preserve">SP1 queries </w:t>
      </w:r>
      <w:r w:rsidR="00670816" w:rsidRPr="00AC2EFF">
        <w:t xml:space="preserve">(2B) </w:t>
      </w:r>
      <w:r w:rsidR="000B79EB" w:rsidRPr="00AC2EFF">
        <w:t xml:space="preserve">the </w:t>
      </w:r>
      <w:r w:rsidR="00CB44A4" w:rsidRPr="00AC2EFF">
        <w:t>Service Bureau</w:t>
      </w:r>
      <w:r w:rsidR="000B79EB" w:rsidRPr="00AC2EFF">
        <w:t xml:space="preserve"> specified by </w:t>
      </w:r>
      <w:proofErr w:type="gramStart"/>
      <w:r w:rsidR="000B79EB" w:rsidRPr="00AC2EFF">
        <w:t>SP2</w:t>
      </w:r>
      <w:r w:rsidR="000B79EB">
        <w:t>,</w:t>
      </w:r>
      <w:proofErr w:type="gramEnd"/>
      <w:r w:rsidR="000B79EB">
        <w:t xml:space="preserve"> and </w:t>
      </w:r>
      <w:r>
        <w:t xml:space="preserve">the SP1 routing service </w:t>
      </w:r>
      <w:r w:rsidR="00670816">
        <w:t xml:space="preserve">(2A) </w:t>
      </w:r>
      <w:r>
        <w:t>supplies</w:t>
      </w:r>
      <w:r>
        <w:rPr>
          <w:rStyle w:val="FootnoteReference"/>
        </w:rPr>
        <w:footnoteReference w:id="2"/>
      </w:r>
      <w:r>
        <w:t xml:space="preserve"> the application server with the ingress point through which SP2 has requested that session requests directed to </w:t>
      </w:r>
      <w:r w:rsidR="00CB6380">
        <w:t xml:space="preserve">this telephone number </w:t>
      </w:r>
      <w:r>
        <w:t xml:space="preserve">enter its network.  </w:t>
      </w:r>
    </w:p>
    <w:p w:rsidR="00D65338" w:rsidRDefault="00D65338" w:rsidP="00D65338">
      <w:pPr>
        <w:pStyle w:val="BodyText"/>
        <w:widowControl w:val="0"/>
        <w:numPr>
          <w:ilvl w:val="0"/>
          <w:numId w:val="1"/>
        </w:numPr>
        <w:spacing w:after="240" w:line="240" w:lineRule="auto"/>
      </w:pPr>
      <w:r>
        <w:t>The application server identifies SBC-2 and (if applicable) SBC-1 in SIP ROUTE headers, and forwards the resulting session request onward.  SP1’s L3 processing resolves the host portion of the topmost ROUTE header (using DNS) to the IP address of SBC-1.</w:t>
      </w:r>
    </w:p>
    <w:p w:rsidR="00D65338" w:rsidRDefault="00D65338" w:rsidP="00D65338">
      <w:pPr>
        <w:pStyle w:val="BodyText"/>
        <w:widowControl w:val="0"/>
        <w:numPr>
          <w:ilvl w:val="0"/>
          <w:numId w:val="1"/>
        </w:numPr>
        <w:spacing w:after="240" w:line="240" w:lineRule="auto"/>
      </w:pPr>
      <w:r>
        <w:t>SBC-1 removes the topmost ROUTE header (which identifies itself) and forwards the session request based on the next one (which identifies SBC-2).  To do so it resolves (using DNS) the host portion of that header, yielding the IP address of SBC-2.</w:t>
      </w:r>
      <w:r w:rsidRPr="0021117A">
        <w:t xml:space="preserve"> </w:t>
      </w:r>
    </w:p>
    <w:p w:rsidR="00D65338" w:rsidRDefault="00D65338" w:rsidP="00D65338">
      <w:pPr>
        <w:pStyle w:val="BodyText"/>
        <w:numPr>
          <w:ilvl w:val="0"/>
          <w:numId w:val="1"/>
        </w:numPr>
      </w:pPr>
      <w:r w:rsidRPr="0021117A">
        <w:lastRenderedPageBreak/>
        <w:t xml:space="preserve">SBC-2 </w:t>
      </w:r>
      <w:r>
        <w:t xml:space="preserve">removes the topmost ROUTE header (which identifies itself) and </w:t>
      </w:r>
      <w:r w:rsidRPr="0021117A">
        <w:t>admits the message to SP2’s network, forwardin</w:t>
      </w:r>
      <w:r>
        <w:t>g it to an application server, and eventually to Mike. How SP2 performs these functions is SP specific.</w:t>
      </w:r>
    </w:p>
    <w:p w:rsidR="00D65338" w:rsidRDefault="00D65338" w:rsidP="00D65338">
      <w:pPr>
        <w:pStyle w:val="BodyText"/>
      </w:pPr>
    </w:p>
    <w:p w:rsidR="00D65338" w:rsidRDefault="00D023E9" w:rsidP="00D023E9">
      <w:pPr>
        <w:pStyle w:val="BodyText"/>
      </w:pPr>
      <w:r>
        <w:rPr>
          <w:noProof/>
        </w:rPr>
        <w:drawing>
          <wp:inline distT="0" distB="0" distL="0" distR="0">
            <wp:extent cx="6041390" cy="3761740"/>
            <wp:effectExtent l="0" t="0" r="0" b="0"/>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41390" cy="3761740"/>
                    </a:xfrm>
                    <a:prstGeom prst="rect">
                      <a:avLst/>
                    </a:prstGeom>
                    <a:noFill/>
                  </pic:spPr>
                </pic:pic>
              </a:graphicData>
            </a:graphic>
          </wp:inline>
        </w:drawing>
      </w:r>
    </w:p>
    <w:p w:rsidR="00D65338" w:rsidRPr="009737E5" w:rsidRDefault="00D65338" w:rsidP="00D65338">
      <w:pPr>
        <w:pStyle w:val="BodyText"/>
      </w:pPr>
      <w:r>
        <w:t xml:space="preserve">Figure </w:t>
      </w:r>
      <w:r w:rsidR="00E96F0B">
        <w:t>Z</w:t>
      </w:r>
    </w:p>
    <w:p w:rsidR="00D65338" w:rsidRDefault="00D65338" w:rsidP="00D65338">
      <w:pPr>
        <w:pStyle w:val="BodyText"/>
        <w:widowControl w:val="0"/>
        <w:spacing w:after="240" w:line="240" w:lineRule="auto"/>
      </w:pPr>
    </w:p>
    <w:p w:rsidR="00D65338" w:rsidRPr="002A58CD" w:rsidRDefault="00D65338" w:rsidP="00D65338"/>
    <w:p w:rsidR="000F4E76" w:rsidRDefault="000F4E76"/>
    <w:sectPr w:rsidR="000F4E76" w:rsidSect="00D023E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1F9" w:rsidRDefault="009551F9" w:rsidP="00D65338">
      <w:pPr>
        <w:spacing w:after="0" w:line="240" w:lineRule="auto"/>
      </w:pPr>
      <w:r>
        <w:separator/>
      </w:r>
    </w:p>
  </w:endnote>
  <w:endnote w:type="continuationSeparator" w:id="0">
    <w:p w:rsidR="009551F9" w:rsidRDefault="009551F9" w:rsidP="00D653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1F9" w:rsidRDefault="009551F9" w:rsidP="00D65338">
      <w:pPr>
        <w:spacing w:after="0" w:line="240" w:lineRule="auto"/>
      </w:pPr>
      <w:r>
        <w:separator/>
      </w:r>
    </w:p>
  </w:footnote>
  <w:footnote w:type="continuationSeparator" w:id="0">
    <w:p w:rsidR="009551F9" w:rsidRDefault="009551F9" w:rsidP="00D65338">
      <w:pPr>
        <w:spacing w:after="0" w:line="240" w:lineRule="auto"/>
      </w:pPr>
      <w:r>
        <w:continuationSeparator/>
      </w:r>
    </w:p>
  </w:footnote>
  <w:footnote w:id="1">
    <w:p w:rsidR="00C250C4" w:rsidRDefault="00C250C4">
      <w:pPr>
        <w:pStyle w:val="FootnoteText"/>
      </w:pPr>
      <w:r>
        <w:rPr>
          <w:rStyle w:val="FootnoteReference"/>
        </w:rPr>
        <w:footnoteRef/>
      </w:r>
      <w:r>
        <w:t xml:space="preserve"> The “code holder” is a term used to refer to the SP serving the TN, which can be identified in LERG data using the LRN or the NPA-NXX of the telephone number (if not shown in the NPAC, e.g., ported or pooled).  </w:t>
      </w:r>
    </w:p>
  </w:footnote>
  <w:footnote w:id="2">
    <w:p w:rsidR="00C250C4" w:rsidRDefault="00C250C4" w:rsidP="00D65338">
      <w:pPr>
        <w:pStyle w:val="FootnoteText"/>
      </w:pPr>
      <w:r>
        <w:rPr>
          <w:rStyle w:val="FootnoteReference"/>
        </w:rPr>
        <w:footnoteRef/>
      </w:r>
      <w:r>
        <w:t xml:space="preserve"> How this is accomplished is implementation specific. Messages from an application server to a routing service is typically an ENUM query, but in some networks a SIP message is sent to a proxy collocated with the ENUM service, which sends back a 302 “redirect” response.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27E21"/>
    <w:multiLevelType w:val="hybridMultilevel"/>
    <w:tmpl w:val="2BBC4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511A6"/>
    <w:multiLevelType w:val="hybridMultilevel"/>
    <w:tmpl w:val="A1D613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9C874A9"/>
    <w:multiLevelType w:val="hybridMultilevel"/>
    <w:tmpl w:val="A0BE3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310C7D"/>
    <w:multiLevelType w:val="hybridMultilevel"/>
    <w:tmpl w:val="445E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7E0200"/>
    <w:multiLevelType w:val="hybridMultilevel"/>
    <w:tmpl w:val="37FE54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D65338"/>
    <w:rsid w:val="000042AE"/>
    <w:rsid w:val="00045957"/>
    <w:rsid w:val="0005538B"/>
    <w:rsid w:val="000554B6"/>
    <w:rsid w:val="000730DD"/>
    <w:rsid w:val="0008506F"/>
    <w:rsid w:val="000A4338"/>
    <w:rsid w:val="000B79EB"/>
    <w:rsid w:val="000E093D"/>
    <w:rsid w:val="000F4E76"/>
    <w:rsid w:val="00103DE4"/>
    <w:rsid w:val="00131E71"/>
    <w:rsid w:val="00137D55"/>
    <w:rsid w:val="00151CD4"/>
    <w:rsid w:val="00156159"/>
    <w:rsid w:val="0015724C"/>
    <w:rsid w:val="00174B52"/>
    <w:rsid w:val="00196FC6"/>
    <w:rsid w:val="001973D1"/>
    <w:rsid w:val="001A4B36"/>
    <w:rsid w:val="001C28A2"/>
    <w:rsid w:val="001D3E16"/>
    <w:rsid w:val="001F2F75"/>
    <w:rsid w:val="002033A3"/>
    <w:rsid w:val="00207B85"/>
    <w:rsid w:val="00216263"/>
    <w:rsid w:val="00222425"/>
    <w:rsid w:val="00224C20"/>
    <w:rsid w:val="00251D8E"/>
    <w:rsid w:val="002630E7"/>
    <w:rsid w:val="002664F2"/>
    <w:rsid w:val="002741F5"/>
    <w:rsid w:val="0027624A"/>
    <w:rsid w:val="002833C5"/>
    <w:rsid w:val="00292350"/>
    <w:rsid w:val="002B4D75"/>
    <w:rsid w:val="002C2191"/>
    <w:rsid w:val="002C78EF"/>
    <w:rsid w:val="002D7EC1"/>
    <w:rsid w:val="002E5D7E"/>
    <w:rsid w:val="002F57D8"/>
    <w:rsid w:val="0030741F"/>
    <w:rsid w:val="003102E8"/>
    <w:rsid w:val="00331F52"/>
    <w:rsid w:val="00350565"/>
    <w:rsid w:val="00367AD4"/>
    <w:rsid w:val="00373F63"/>
    <w:rsid w:val="003D5853"/>
    <w:rsid w:val="003D67F3"/>
    <w:rsid w:val="003E5346"/>
    <w:rsid w:val="003F43D2"/>
    <w:rsid w:val="00401D98"/>
    <w:rsid w:val="0040512F"/>
    <w:rsid w:val="00414E8E"/>
    <w:rsid w:val="00421A5C"/>
    <w:rsid w:val="004228C3"/>
    <w:rsid w:val="0046640F"/>
    <w:rsid w:val="0049194B"/>
    <w:rsid w:val="004A5854"/>
    <w:rsid w:val="004A70BB"/>
    <w:rsid w:val="004C1966"/>
    <w:rsid w:val="004D4D3E"/>
    <w:rsid w:val="00502F23"/>
    <w:rsid w:val="00504DFB"/>
    <w:rsid w:val="00513DC4"/>
    <w:rsid w:val="005367B6"/>
    <w:rsid w:val="00553B5C"/>
    <w:rsid w:val="005631F0"/>
    <w:rsid w:val="005851E0"/>
    <w:rsid w:val="0058747A"/>
    <w:rsid w:val="00593EFB"/>
    <w:rsid w:val="005B7245"/>
    <w:rsid w:val="005C357C"/>
    <w:rsid w:val="005D1E79"/>
    <w:rsid w:val="006014F9"/>
    <w:rsid w:val="00604CE0"/>
    <w:rsid w:val="00630FD5"/>
    <w:rsid w:val="00631DEF"/>
    <w:rsid w:val="00646D71"/>
    <w:rsid w:val="00660075"/>
    <w:rsid w:val="006604AE"/>
    <w:rsid w:val="00670816"/>
    <w:rsid w:val="00687BD2"/>
    <w:rsid w:val="006B0823"/>
    <w:rsid w:val="006C6D79"/>
    <w:rsid w:val="006D3C7A"/>
    <w:rsid w:val="006D529E"/>
    <w:rsid w:val="006E1ACC"/>
    <w:rsid w:val="006E3777"/>
    <w:rsid w:val="006F29EC"/>
    <w:rsid w:val="0071223D"/>
    <w:rsid w:val="007151FB"/>
    <w:rsid w:val="00724C06"/>
    <w:rsid w:val="00731C31"/>
    <w:rsid w:val="00751F70"/>
    <w:rsid w:val="007536A7"/>
    <w:rsid w:val="00760EC4"/>
    <w:rsid w:val="00771AB9"/>
    <w:rsid w:val="00775054"/>
    <w:rsid w:val="007817FC"/>
    <w:rsid w:val="00797AF5"/>
    <w:rsid w:val="007B4557"/>
    <w:rsid w:val="007B4992"/>
    <w:rsid w:val="007C0F84"/>
    <w:rsid w:val="007C3FC3"/>
    <w:rsid w:val="007D63DC"/>
    <w:rsid w:val="007E3F2C"/>
    <w:rsid w:val="007E59BD"/>
    <w:rsid w:val="00833BFC"/>
    <w:rsid w:val="00862176"/>
    <w:rsid w:val="008700C4"/>
    <w:rsid w:val="00873C48"/>
    <w:rsid w:val="0088652A"/>
    <w:rsid w:val="00896914"/>
    <w:rsid w:val="008A2E9A"/>
    <w:rsid w:val="008A77C7"/>
    <w:rsid w:val="008B3043"/>
    <w:rsid w:val="008C4178"/>
    <w:rsid w:val="008D3CF4"/>
    <w:rsid w:val="008E3180"/>
    <w:rsid w:val="00907EF4"/>
    <w:rsid w:val="009146DA"/>
    <w:rsid w:val="009174FC"/>
    <w:rsid w:val="00924FB3"/>
    <w:rsid w:val="009255A4"/>
    <w:rsid w:val="00933A04"/>
    <w:rsid w:val="00934829"/>
    <w:rsid w:val="00934C85"/>
    <w:rsid w:val="00934F2E"/>
    <w:rsid w:val="009551F9"/>
    <w:rsid w:val="00956CC0"/>
    <w:rsid w:val="009642B0"/>
    <w:rsid w:val="00996D92"/>
    <w:rsid w:val="009A28F4"/>
    <w:rsid w:val="009A3943"/>
    <w:rsid w:val="009A7ED9"/>
    <w:rsid w:val="009C561A"/>
    <w:rsid w:val="009D7D62"/>
    <w:rsid w:val="009E369B"/>
    <w:rsid w:val="00A14663"/>
    <w:rsid w:val="00A20DB3"/>
    <w:rsid w:val="00A3121F"/>
    <w:rsid w:val="00A32BD8"/>
    <w:rsid w:val="00A530FC"/>
    <w:rsid w:val="00A7413F"/>
    <w:rsid w:val="00A74E4F"/>
    <w:rsid w:val="00A87D47"/>
    <w:rsid w:val="00AA29B5"/>
    <w:rsid w:val="00AB1122"/>
    <w:rsid w:val="00AC1A35"/>
    <w:rsid w:val="00AC2EFF"/>
    <w:rsid w:val="00AC5F32"/>
    <w:rsid w:val="00AF5D80"/>
    <w:rsid w:val="00B22FE4"/>
    <w:rsid w:val="00B302A3"/>
    <w:rsid w:val="00B3059A"/>
    <w:rsid w:val="00B921A0"/>
    <w:rsid w:val="00B96065"/>
    <w:rsid w:val="00BA35E2"/>
    <w:rsid w:val="00BB0296"/>
    <w:rsid w:val="00BD553A"/>
    <w:rsid w:val="00BF26DA"/>
    <w:rsid w:val="00C00A2B"/>
    <w:rsid w:val="00C042AB"/>
    <w:rsid w:val="00C250C4"/>
    <w:rsid w:val="00C25844"/>
    <w:rsid w:val="00C32AAA"/>
    <w:rsid w:val="00C476D6"/>
    <w:rsid w:val="00C50547"/>
    <w:rsid w:val="00C51DA3"/>
    <w:rsid w:val="00C52168"/>
    <w:rsid w:val="00C61531"/>
    <w:rsid w:val="00C618CE"/>
    <w:rsid w:val="00C766D4"/>
    <w:rsid w:val="00C95809"/>
    <w:rsid w:val="00CA0B8D"/>
    <w:rsid w:val="00CB44A4"/>
    <w:rsid w:val="00CB6380"/>
    <w:rsid w:val="00CC4BF7"/>
    <w:rsid w:val="00CD6EF5"/>
    <w:rsid w:val="00CE65B7"/>
    <w:rsid w:val="00CF56A8"/>
    <w:rsid w:val="00D023E9"/>
    <w:rsid w:val="00D1351F"/>
    <w:rsid w:val="00D13A47"/>
    <w:rsid w:val="00D14DC5"/>
    <w:rsid w:val="00D230BB"/>
    <w:rsid w:val="00D51312"/>
    <w:rsid w:val="00D65338"/>
    <w:rsid w:val="00D65F53"/>
    <w:rsid w:val="00D72D3B"/>
    <w:rsid w:val="00D7420B"/>
    <w:rsid w:val="00D84B98"/>
    <w:rsid w:val="00D85F1A"/>
    <w:rsid w:val="00D97B1A"/>
    <w:rsid w:val="00DA1E7C"/>
    <w:rsid w:val="00DE45F0"/>
    <w:rsid w:val="00DF2CAF"/>
    <w:rsid w:val="00E11A68"/>
    <w:rsid w:val="00E3347C"/>
    <w:rsid w:val="00E72814"/>
    <w:rsid w:val="00E96F0B"/>
    <w:rsid w:val="00ED0838"/>
    <w:rsid w:val="00EE7C57"/>
    <w:rsid w:val="00EF1E32"/>
    <w:rsid w:val="00EF1F1E"/>
    <w:rsid w:val="00EF61B6"/>
    <w:rsid w:val="00EF6BAC"/>
    <w:rsid w:val="00F30957"/>
    <w:rsid w:val="00F31679"/>
    <w:rsid w:val="00F40193"/>
    <w:rsid w:val="00F5505B"/>
    <w:rsid w:val="00F57B74"/>
    <w:rsid w:val="00F667DC"/>
    <w:rsid w:val="00F7208F"/>
    <w:rsid w:val="00FA44CF"/>
    <w:rsid w:val="00FA6F3B"/>
    <w:rsid w:val="00FD62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809"/>
  </w:style>
  <w:style w:type="paragraph" w:styleId="Heading1">
    <w:name w:val="heading 1"/>
    <w:basedOn w:val="Normal"/>
    <w:next w:val="BodyText"/>
    <w:link w:val="Heading1Char"/>
    <w:qFormat/>
    <w:rsid w:val="00D65338"/>
    <w:pPr>
      <w:keepNext/>
      <w:spacing w:after="240" w:line="240" w:lineRule="auto"/>
      <w:jc w:val="both"/>
      <w:outlineLvl w:val="0"/>
    </w:pPr>
    <w:rPr>
      <w:rFonts w:ascii="Times New Roman" w:eastAsia="Times New Roman" w:hAnsi="Times New Roman" w:cs="Times New Roman"/>
      <w:b/>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5338"/>
    <w:rPr>
      <w:rFonts w:ascii="Times New Roman" w:eastAsia="Times New Roman" w:hAnsi="Times New Roman" w:cs="Times New Roman"/>
      <w:b/>
      <w:sz w:val="24"/>
      <w:szCs w:val="20"/>
      <w:lang w:eastAsia="ja-JP"/>
    </w:rPr>
  </w:style>
  <w:style w:type="paragraph" w:styleId="BodyText">
    <w:name w:val="Body Text"/>
    <w:basedOn w:val="Normal"/>
    <w:link w:val="BodyTextChar"/>
    <w:uiPriority w:val="99"/>
    <w:unhideWhenUsed/>
    <w:rsid w:val="00D65338"/>
    <w:pPr>
      <w:spacing w:after="120"/>
    </w:pPr>
  </w:style>
  <w:style w:type="character" w:customStyle="1" w:styleId="BodyTextChar">
    <w:name w:val="Body Text Char"/>
    <w:basedOn w:val="DefaultParagraphFont"/>
    <w:link w:val="BodyText"/>
    <w:uiPriority w:val="99"/>
    <w:rsid w:val="00D65338"/>
  </w:style>
  <w:style w:type="table" w:styleId="TableGrid">
    <w:name w:val="Table Grid"/>
    <w:basedOn w:val="TableNormal"/>
    <w:uiPriority w:val="59"/>
    <w:rsid w:val="00D65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653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338"/>
    <w:rPr>
      <w:sz w:val="20"/>
      <w:szCs w:val="20"/>
    </w:rPr>
  </w:style>
  <w:style w:type="character" w:styleId="FootnoteReference">
    <w:name w:val="footnote reference"/>
    <w:basedOn w:val="DefaultParagraphFont"/>
    <w:uiPriority w:val="99"/>
    <w:semiHidden/>
    <w:unhideWhenUsed/>
    <w:rsid w:val="00D65338"/>
    <w:rPr>
      <w:vertAlign w:val="superscript"/>
    </w:rPr>
  </w:style>
  <w:style w:type="character" w:styleId="Hyperlink">
    <w:name w:val="Hyperlink"/>
    <w:uiPriority w:val="99"/>
    <w:unhideWhenUsed/>
    <w:rsid w:val="00D65338"/>
    <w:rPr>
      <w:color w:val="0000FF"/>
      <w:u w:val="single"/>
    </w:rPr>
  </w:style>
  <w:style w:type="paragraph" w:styleId="BalloonText">
    <w:name w:val="Balloon Text"/>
    <w:basedOn w:val="Normal"/>
    <w:link w:val="BalloonTextChar"/>
    <w:uiPriority w:val="99"/>
    <w:semiHidden/>
    <w:unhideWhenUsed/>
    <w:rsid w:val="00D65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338"/>
    <w:rPr>
      <w:rFonts w:ascii="Tahoma" w:hAnsi="Tahoma" w:cs="Tahoma"/>
      <w:sz w:val="16"/>
      <w:szCs w:val="16"/>
    </w:rPr>
  </w:style>
  <w:style w:type="paragraph" w:styleId="ListParagraph">
    <w:name w:val="List Paragraph"/>
    <w:basedOn w:val="Normal"/>
    <w:uiPriority w:val="34"/>
    <w:qFormat/>
    <w:rsid w:val="00751F70"/>
    <w:pPr>
      <w:ind w:left="720"/>
      <w:contextualSpacing/>
    </w:pPr>
  </w:style>
  <w:style w:type="paragraph" w:customStyle="1" w:styleId="Default">
    <w:name w:val="Default"/>
    <w:rsid w:val="00ED0838"/>
    <w:pPr>
      <w:autoSpaceDE w:val="0"/>
      <w:autoSpaceDN w:val="0"/>
      <w:adjustRightInd w:val="0"/>
      <w:spacing w:after="0" w:line="240" w:lineRule="auto"/>
    </w:pPr>
    <w:rPr>
      <w:rFonts w:ascii="Book Antiqua" w:hAnsi="Book Antiqua" w:cs="Book Antiqua"/>
      <w:color w:val="000000"/>
      <w:sz w:val="24"/>
      <w:szCs w:val="24"/>
    </w:rPr>
  </w:style>
  <w:style w:type="paragraph" w:styleId="NormalWeb">
    <w:name w:val="Normal (Web)"/>
    <w:basedOn w:val="Normal"/>
    <w:uiPriority w:val="99"/>
    <w:semiHidden/>
    <w:unhideWhenUsed/>
    <w:rsid w:val="0071223D"/>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D65338"/>
    <w:pPr>
      <w:keepNext/>
      <w:spacing w:after="240" w:line="240" w:lineRule="auto"/>
      <w:jc w:val="both"/>
      <w:outlineLvl w:val="0"/>
    </w:pPr>
    <w:rPr>
      <w:rFonts w:ascii="Times New Roman" w:eastAsia="Times New Roman" w:hAnsi="Times New Roman" w:cs="Times New Roman"/>
      <w:b/>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5338"/>
    <w:rPr>
      <w:rFonts w:ascii="Times New Roman" w:eastAsia="Times New Roman" w:hAnsi="Times New Roman" w:cs="Times New Roman"/>
      <w:b/>
      <w:sz w:val="24"/>
      <w:szCs w:val="20"/>
      <w:lang w:eastAsia="ja-JP"/>
    </w:rPr>
  </w:style>
  <w:style w:type="paragraph" w:styleId="BodyText">
    <w:name w:val="Body Text"/>
    <w:basedOn w:val="Normal"/>
    <w:link w:val="BodyTextChar"/>
    <w:uiPriority w:val="99"/>
    <w:unhideWhenUsed/>
    <w:rsid w:val="00D65338"/>
    <w:pPr>
      <w:spacing w:after="120"/>
    </w:pPr>
  </w:style>
  <w:style w:type="character" w:customStyle="1" w:styleId="BodyTextChar">
    <w:name w:val="Body Text Char"/>
    <w:basedOn w:val="DefaultParagraphFont"/>
    <w:link w:val="BodyText"/>
    <w:uiPriority w:val="99"/>
    <w:rsid w:val="00D65338"/>
  </w:style>
  <w:style w:type="table" w:styleId="TableGrid">
    <w:name w:val="Table Grid"/>
    <w:basedOn w:val="TableNormal"/>
    <w:uiPriority w:val="59"/>
    <w:rsid w:val="00D65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653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338"/>
    <w:rPr>
      <w:sz w:val="20"/>
      <w:szCs w:val="20"/>
    </w:rPr>
  </w:style>
  <w:style w:type="character" w:styleId="FootnoteReference">
    <w:name w:val="footnote reference"/>
    <w:basedOn w:val="DefaultParagraphFont"/>
    <w:uiPriority w:val="99"/>
    <w:semiHidden/>
    <w:unhideWhenUsed/>
    <w:rsid w:val="00D65338"/>
    <w:rPr>
      <w:vertAlign w:val="superscript"/>
    </w:rPr>
  </w:style>
  <w:style w:type="character" w:styleId="Hyperlink">
    <w:name w:val="Hyperlink"/>
    <w:uiPriority w:val="99"/>
    <w:unhideWhenUsed/>
    <w:rsid w:val="00D65338"/>
    <w:rPr>
      <w:color w:val="0000FF"/>
      <w:u w:val="single"/>
    </w:rPr>
  </w:style>
  <w:style w:type="paragraph" w:styleId="BalloonText">
    <w:name w:val="Balloon Text"/>
    <w:basedOn w:val="Normal"/>
    <w:link w:val="BalloonTextChar"/>
    <w:uiPriority w:val="99"/>
    <w:semiHidden/>
    <w:unhideWhenUsed/>
    <w:rsid w:val="00D65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338"/>
    <w:rPr>
      <w:rFonts w:ascii="Tahoma" w:hAnsi="Tahoma" w:cs="Tahoma"/>
      <w:sz w:val="16"/>
      <w:szCs w:val="16"/>
    </w:rPr>
  </w:style>
  <w:style w:type="paragraph" w:styleId="ListParagraph">
    <w:name w:val="List Paragraph"/>
    <w:basedOn w:val="Normal"/>
    <w:uiPriority w:val="34"/>
    <w:qFormat/>
    <w:rsid w:val="00751F70"/>
    <w:pPr>
      <w:ind w:left="720"/>
      <w:contextualSpacing/>
    </w:pPr>
  </w:style>
  <w:style w:type="paragraph" w:customStyle="1" w:styleId="Default">
    <w:name w:val="Default"/>
    <w:rsid w:val="00ED0838"/>
    <w:pPr>
      <w:autoSpaceDE w:val="0"/>
      <w:autoSpaceDN w:val="0"/>
      <w:adjustRightInd w:val="0"/>
      <w:spacing w:after="0" w:line="240" w:lineRule="auto"/>
    </w:pPr>
    <w:rPr>
      <w:rFonts w:ascii="Book Antiqua" w:hAnsi="Book Antiqua" w:cs="Book Antiqua"/>
      <w:color w:val="000000"/>
      <w:sz w:val="24"/>
      <w:szCs w:val="24"/>
    </w:rPr>
  </w:style>
  <w:style w:type="paragraph" w:styleId="NormalWeb">
    <w:name w:val="Normal (Web)"/>
    <w:basedOn w:val="Normal"/>
    <w:uiPriority w:val="99"/>
    <w:semiHidden/>
    <w:unhideWhenUsed/>
    <w:rsid w:val="0071223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sterdick@verizon.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ip:+13036614567@example.mso-a.com;user=pho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ames.t.castagna@veriz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37AF3-03FC-42C4-AFEA-EDCA8B29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Per-TN w/o shared industry infrastructure</vt:lpstr>
    </vt:vector>
  </TitlesOfParts>
  <Company>Verizon</Company>
  <LinksUpToDate>false</LinksUpToDate>
  <CharactersWithSpaces>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Per-TN w/o shared industry infrastructure</dc:title>
  <dc:subject>IP-NNI TF Routing Document</dc:subject>
  <dc:creator>Castagna \ Verizon</dc:creator>
  <cp:lastModifiedBy>v271400</cp:lastModifiedBy>
  <cp:revision>2</cp:revision>
  <dcterms:created xsi:type="dcterms:W3CDTF">2014-09-03T20:18:00Z</dcterms:created>
  <dcterms:modified xsi:type="dcterms:W3CDTF">2014-09-03T20:18:00Z</dcterms:modified>
</cp:coreProperties>
</file>